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四</w:t>
      </w:r>
      <w:r>
        <w:rPr>
          <w:rFonts w:hint="eastAsia" w:ascii="宋体" w:hAnsi="宋体"/>
          <w:b/>
          <w:sz w:val="30"/>
          <w:szCs w:val="30"/>
        </w:rPr>
        <w:t>课 《活动：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智慧交通我控制</w:t>
      </w:r>
      <w:r>
        <w:rPr>
          <w:rFonts w:hint="eastAsia" w:ascii="宋体" w:hAnsi="宋体"/>
          <w:b/>
          <w:sz w:val="30"/>
          <w:szCs w:val="30"/>
        </w:rPr>
        <w:t>》 教学设计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>
            <w:pPr>
              <w:spacing w:before="156" w:beforeLines="50" w:line="340" w:lineRule="exact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【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教学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目标】</w:t>
            </w:r>
          </w:p>
          <w:p>
            <w:pPr>
              <w:numPr>
                <w:ilvl w:val="0"/>
                <w:numId w:val="0"/>
              </w:numPr>
              <w:spacing w:line="440" w:lineRule="exact"/>
              <w:ind w:firstLine="482" w:firstLineChars="0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bookmarkStart w:id="0" w:name="_Toc2618"/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经历“需求分析→方案设计→程序开发”全流程，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运用项目化方法解决真实交通问题，通过团队协作优化系统功能。</w:t>
            </w:r>
            <w:bookmarkEnd w:id="0"/>
            <w:bookmarkStart w:id="1" w:name="_Toc16457"/>
          </w:p>
          <w:p>
            <w:pPr>
              <w:numPr>
                <w:ilvl w:val="0"/>
                <w:numId w:val="0"/>
              </w:numPr>
              <w:spacing w:line="440" w:lineRule="exact"/>
              <w:ind w:firstLine="482" w:firstLineChars="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通过分析交通信号灯工作原理，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掌握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“输入—计算—输出”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控制模式在智慧交通中的应用，合作完成校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门口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信号灯系统的设计与编程实现。</w:t>
            </w:r>
            <w:bookmarkEnd w:id="1"/>
          </w:p>
          <w:p>
            <w:pPr>
              <w:spacing w:line="440" w:lineRule="exact"/>
              <w:ind w:firstLine="482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bookmarkStart w:id="2" w:name="_Toc5050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3.在控制系统开发中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体验技术创新价值，践行安全交通理念，形成技术服务于人的社会责任意识。</w:t>
            </w:r>
            <w:bookmarkEnd w:id="2"/>
          </w:p>
          <w:p>
            <w:pPr>
              <w:spacing w:line="440" w:lineRule="exac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【教学准备】</w:t>
            </w:r>
          </w:p>
          <w:p>
            <w:pPr>
              <w:spacing w:line="440" w:lineRule="exact"/>
              <w:ind w:firstLine="482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1.教学课件</w:t>
            </w:r>
          </w:p>
          <w:p>
            <w:pPr>
              <w:spacing w:line="440" w:lineRule="exact"/>
              <w:ind w:firstLine="482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2.学习任务单</w:t>
            </w:r>
          </w:p>
          <w:p>
            <w:pPr>
              <w:spacing w:before="156" w:beforeLines="50" w:line="400" w:lineRule="exact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【教学过程】</w:t>
            </w:r>
          </w:p>
          <w:p>
            <w:pPr>
              <w:ind w:firstLine="482" w:firstLineChars="200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一、导入新课</w:t>
            </w:r>
          </w:p>
          <w:p>
            <w:pPr>
              <w:spacing w:line="360" w:lineRule="auto"/>
              <w:ind w:firstLine="480" w:firstLineChars="200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展示繁忙的十字路口和交通信号灯的图片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（教材图1.4.1），并讨论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交通信号灯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（教材图1.4.2）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重要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作用。引出本节课的主题：设计并制作一个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校门口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交通信号灯系统。</w:t>
            </w:r>
          </w:p>
          <w:p>
            <w:pPr>
              <w:ind w:firstLine="480" w:firstLineChars="200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ind w:firstLine="482" w:firstLineChars="200"/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二、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梳理项目实现的步骤、分工和需求分析</w:t>
            </w: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1.小组讨论，在学校大门口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图1.4.3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可能发生哪些危险?有哪些解决办法?完成【课堂任务一】。</w:t>
            </w:r>
          </w:p>
          <w:p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202565</wp:posOffset>
                      </wp:positionH>
                      <wp:positionV relativeFrom="paragraph">
                        <wp:posOffset>52070</wp:posOffset>
                      </wp:positionV>
                      <wp:extent cx="5693410" cy="1903730"/>
                      <wp:effectExtent l="4445" t="4445" r="17145" b="12065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082040" y="5954395"/>
                                <a:ext cx="5693410" cy="19037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spacing w:line="360" w:lineRule="auto"/>
                                    <w:ind w:firstLine="480" w:firstLineChars="200"/>
                                    <w:jc w:val="center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【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  <w:t>想一想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】</w:t>
                                  </w:r>
                                </w:p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tabs>
                                      <w:tab w:val="left" w:pos="6789"/>
                                    </w:tabs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360" w:lineRule="auto"/>
                                    <w:ind w:firstLine="480" w:firstLineChars="200"/>
                                    <w:jc w:val="left"/>
                                    <w:textAlignment w:val="auto"/>
                                    <w:rPr>
                                      <w:rFonts w:hint="eastAsia" w:ascii="宋体" w:hAnsi="宋体" w:cs="宋体"/>
                                      <w:kern w:val="2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kern w:val="2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  <w:t>放学时，在学校大门口（图 1.4.3）可能发生哪些危险？</w:t>
                                  </w:r>
                                </w:p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tabs>
                                      <w:tab w:val="left" w:pos="6789"/>
                                    </w:tabs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360" w:lineRule="auto"/>
                                    <w:ind w:firstLine="480" w:firstLineChars="200"/>
                                    <w:jc w:val="left"/>
                                    <w:textAlignment w:val="auto"/>
                                    <w:rPr>
                                      <w:rFonts w:hint="eastAsia" w:ascii="宋体" w:hAnsi="宋体" w:cs="宋体"/>
                                      <w:kern w:val="2"/>
                                      <w:sz w:val="24"/>
                                      <w:szCs w:val="24"/>
                                      <w:u w:val="single"/>
                                      <w:lang w:val="en-US" w:eastAsia="zh-CN" w:bidi="ar-SA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color w:val="FF0000"/>
                                      <w:kern w:val="2"/>
                                      <w:sz w:val="24"/>
                                      <w:szCs w:val="24"/>
                                      <w:u w:val="single"/>
                                      <w:lang w:val="en-US" w:eastAsia="zh-CN" w:bidi="ar-SA"/>
                                    </w:rPr>
                                    <w:t>车辆与行人混行、交通拥堵、学生横穿马路等。</w:t>
                                  </w:r>
                                </w:p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tabs>
                                      <w:tab w:val="left" w:pos="6789"/>
                                    </w:tabs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360" w:lineRule="auto"/>
                                    <w:ind w:firstLine="480" w:firstLineChars="200"/>
                                    <w:jc w:val="left"/>
                                    <w:textAlignment w:val="auto"/>
                                    <w:rPr>
                                      <w:rFonts w:hint="eastAsia" w:ascii="宋体" w:hAnsi="宋体" w:cs="宋体"/>
                                      <w:kern w:val="2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kern w:val="2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  <w:t>有哪些解决办法？</w:t>
                                  </w:r>
                                </w:p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tabs>
                                      <w:tab w:val="left" w:pos="6789"/>
                                    </w:tabs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360" w:lineRule="auto"/>
                                    <w:ind w:firstLine="480" w:firstLineChars="200"/>
                                    <w:jc w:val="left"/>
                                    <w:textAlignment w:val="auto"/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color w:val="FF0000"/>
                                      <w:kern w:val="2"/>
                                      <w:sz w:val="24"/>
                                      <w:szCs w:val="24"/>
                                      <w:u w:val="single"/>
                                      <w:lang w:val="en-US" w:eastAsia="zh-CN" w:bidi="ar-SA"/>
                                    </w:rPr>
                                    <w:t>设置交通信号灯、划分人行道和车行道、安排交通协管员等。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.95pt;margin-top:4.1pt;height:149.9pt;width:448.3pt;z-index:251660288;mso-width-relative:page;mso-height-relative:page;" fillcolor="#FFFFFF [3201]" filled="t" stroked="t" coordsize="21600,21600" o:gfxdata="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BDZ+1nWAAAACQEAAA8AAAAAAAAAAQAgAAAAIgAAAGRycy9kb3ducmV2LnhtbFBLAQIUABQAAAAI&#10;AIdO4kD4H5YJYQIAAMQEAAAOAAAAAAAAAAEAIAAAACUBAABkcnMvZTJvRG9jLnhtbFBLBQYAAAAA&#10;BgAGAFkBAAD4BQAAAAA=&#10;">
                      <v:fill on="t" focussize="0,0"/>
                      <v:stroke weight="0.2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360" w:lineRule="auto"/>
                              <w:ind w:firstLine="480" w:firstLineChars="200"/>
                              <w:jc w:val="center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【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  <w:t>想一想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】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tabs>
                                <w:tab w:val="left" w:pos="6789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firstLine="480" w:firstLineChars="200"/>
                              <w:jc w:val="left"/>
                              <w:textAlignment w:val="auto"/>
                              <w:rPr>
                                <w:rFonts w:hint="eastAsia" w:ascii="宋体" w:hAnsi="宋体" w:cs="宋体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  <w:t>放学时，在学校大门口（图 1.4.3）可能发生哪些危险？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tabs>
                                <w:tab w:val="left" w:pos="6789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firstLine="480" w:firstLineChars="200"/>
                              <w:jc w:val="left"/>
                              <w:textAlignment w:val="auto"/>
                              <w:rPr>
                                <w:rFonts w:hint="eastAsia" w:ascii="宋体" w:hAnsi="宋体" w:cs="宋体"/>
                                <w:kern w:val="2"/>
                                <w:sz w:val="24"/>
                                <w:szCs w:val="24"/>
                                <w:u w:val="single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FF0000"/>
                                <w:kern w:val="2"/>
                                <w:sz w:val="24"/>
                                <w:szCs w:val="24"/>
                                <w:u w:val="single"/>
                                <w:lang w:val="en-US" w:eastAsia="zh-CN" w:bidi="ar-SA"/>
                              </w:rPr>
                              <w:t>车辆与行人混行、交通拥堵、学生横穿马路等。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tabs>
                                <w:tab w:val="left" w:pos="6789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firstLine="480" w:firstLineChars="200"/>
                              <w:jc w:val="left"/>
                              <w:textAlignment w:val="auto"/>
                              <w:rPr>
                                <w:rFonts w:hint="eastAsia" w:ascii="宋体" w:hAnsi="宋体" w:cs="宋体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  <w:t>有哪些解决办法？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tabs>
                                <w:tab w:val="left" w:pos="6789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firstLine="480" w:firstLineChars="200"/>
                              <w:jc w:val="left"/>
                              <w:textAlignment w:val="auto"/>
                            </w:pPr>
                            <w:r>
                              <w:rPr>
                                <w:rFonts w:hint="eastAsia" w:ascii="宋体" w:hAnsi="宋体" w:cs="宋体"/>
                                <w:color w:val="FF0000"/>
                                <w:kern w:val="2"/>
                                <w:sz w:val="24"/>
                                <w:szCs w:val="24"/>
                                <w:u w:val="single"/>
                                <w:lang w:val="en-US" w:eastAsia="zh-CN" w:bidi="ar-SA"/>
                              </w:rPr>
                              <w:t>设置交通信号灯、划分人行道和车行道、安排交通协管员等。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spacing w:line="360" w:lineRule="auto"/>
              <w:ind w:firstLine="480" w:firstLineChars="200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2.上网查找相关资料，了解实施的可能性，填写表1.4.1。完成【课堂任务二】。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83185</wp:posOffset>
                      </wp:positionH>
                      <wp:positionV relativeFrom="paragraph">
                        <wp:posOffset>91440</wp:posOffset>
                      </wp:positionV>
                      <wp:extent cx="5956300" cy="3700145"/>
                      <wp:effectExtent l="4445" t="4445" r="13335" b="1397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56300" cy="37001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spacing w:line="360" w:lineRule="auto"/>
                                    <w:ind w:firstLine="480" w:firstLineChars="200"/>
                                    <w:jc w:val="center"/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【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kern w:val="2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  <w:t>查一查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】</w:t>
                                  </w:r>
                                </w:p>
                                <w:p>
                                  <w:pPr>
                                    <w:spacing w:line="360" w:lineRule="auto"/>
                                    <w:ind w:firstLine="480" w:firstLineChars="200"/>
                                    <w:jc w:val="center"/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表1.4.1红绿灯资料收集表</w:t>
                                  </w:r>
                                </w:p>
                                <w:tbl>
                                  <w:tblPr>
                                    <w:tblStyle w:val="13"/>
                                    <w:tblpPr w:leftFromText="180" w:rightFromText="180" w:vertAnchor="page" w:horzAnchor="page" w:tblpX="1170" w:tblpY="2102"/>
                                    <w:tblOverlap w:val="never"/>
                                    <w:tblW w:w="9099" w:type="dxa"/>
                                    <w:tblInd w:w="0" w:type="dxa"/>
                                    <w:tbl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  <w:insideH w:val="single" w:color="auto" w:sz="4" w:space="0"/>
                                      <w:insideV w:val="single" w:color="auto" w:sz="4" w:space="0"/>
                                    </w:tblBorders>
                                    <w:shd w:val="clear" w:color="auto" w:fill="auto"/>
                                    <w:tblLayout w:type="autofit"/>
                                    <w:tblCell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blCellMar>
                                  </w:tblPr>
                                  <w:tblGrid>
                                    <w:gridCol w:w="4526"/>
                                    <w:gridCol w:w="4573"/>
                                  </w:tblGrid>
                                  <w:tr>
                                    <w:tblPrEx>
                                      <w:tblBorders>
                                        <w:top w:val="single" w:color="auto" w:sz="4" w:space="0"/>
                                        <w:left w:val="single" w:color="auto" w:sz="4" w:space="0"/>
                                        <w:bottom w:val="single" w:color="auto" w:sz="4" w:space="0"/>
                                        <w:right w:val="single" w:color="auto" w:sz="4" w:space="0"/>
                                        <w:insideH w:val="single" w:color="auto" w:sz="4" w:space="0"/>
                                        <w:insideV w:val="single" w:color="auto" w:sz="4" w:space="0"/>
                                      </w:tblBorders>
                                      <w:shd w:val="clear" w:color="auto" w:fill="auto"/>
                                      <w:tblCellMar>
                                        <w:top w:w="0" w:type="dxa"/>
                                        <w:left w:w="0" w:type="dxa"/>
                                        <w:bottom w:w="0" w:type="dxa"/>
                                        <w:right w:w="0" w:type="dxa"/>
                                      </w:tblCellMar>
                                    </w:tblPrEx>
                                    <w:trPr>
                                      <w:trHeight w:val="407" w:hRule="atLeast"/>
                                    </w:trPr>
                                    <w:tc>
                                      <w:tcPr>
                                        <w:tcW w:w="4526" w:type="dxa"/>
                                        <w:shd w:val="clear" w:color="auto" w:fill="auto"/>
                                        <w:vAlign w:val="top"/>
                                      </w:tcPr>
                                      <w:p>
                                        <w:pPr>
                                          <w:pStyle w:val="12"/>
                                          <w:spacing w:before="98" w:line="202" w:lineRule="auto"/>
                                          <w:jc w:val="left"/>
                                          <w:rPr>
                                            <w:rFonts w:hint="eastAsia" w:ascii="宋体" w:hAnsi="宋体" w:eastAsia="宋体" w:cs="宋体"/>
                                            <w:color w:val="FF0000"/>
                                            <w:kern w:val="2"/>
                                            <w:sz w:val="24"/>
                                            <w:szCs w:val="24"/>
                                            <w:lang w:val="en-US" w:eastAsia="zh-CN" w:bidi="ar-SA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 w:eastAsia="宋体" w:cs="宋体"/>
                                            <w:color w:val="FF0000"/>
                                            <w:kern w:val="2"/>
                                            <w:sz w:val="24"/>
                                            <w:szCs w:val="24"/>
                                            <w:lang w:val="en-US" w:eastAsia="zh-CN" w:bidi="ar-SA"/>
                                          </w:rPr>
                                          <w:t>我会思考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573" w:type="dxa"/>
                                        <w:shd w:val="clear" w:color="auto" w:fill="auto"/>
                                        <w:vAlign w:val="top"/>
                                      </w:tcPr>
                                      <w:p>
                                        <w:pPr>
                                          <w:pStyle w:val="12"/>
                                          <w:spacing w:before="98" w:line="203" w:lineRule="auto"/>
                                          <w:jc w:val="left"/>
                                          <w:rPr>
                                            <w:rFonts w:hint="eastAsia" w:ascii="宋体" w:hAnsi="宋体" w:eastAsia="宋体" w:cs="宋体"/>
                                            <w:color w:val="FF0000"/>
                                            <w:kern w:val="2"/>
                                            <w:sz w:val="24"/>
                                            <w:szCs w:val="24"/>
                                            <w:lang w:val="en-US" w:eastAsia="zh-CN" w:bidi="ar-SA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 w:eastAsia="宋体" w:cs="宋体"/>
                                            <w:color w:val="FF0000"/>
                                            <w:kern w:val="2"/>
                                            <w:sz w:val="24"/>
                                            <w:szCs w:val="24"/>
                                            <w:lang w:val="en-US" w:eastAsia="zh-CN" w:bidi="ar-SA"/>
                                          </w:rPr>
                                          <w:t>我了解到</w:t>
                                        </w:r>
                                      </w:p>
                                    </w:tc>
                                  </w:tr>
                                  <w:tr>
                                    <w:tblPrEx>
                                      <w:tblBorders>
                                        <w:top w:val="single" w:color="auto" w:sz="4" w:space="0"/>
                                        <w:left w:val="single" w:color="auto" w:sz="4" w:space="0"/>
                                        <w:bottom w:val="single" w:color="auto" w:sz="4" w:space="0"/>
                                        <w:right w:val="single" w:color="auto" w:sz="4" w:space="0"/>
                                        <w:insideH w:val="single" w:color="auto" w:sz="4" w:space="0"/>
                                        <w:insideV w:val="single" w:color="auto" w:sz="4" w:space="0"/>
                                      </w:tblBorders>
                                      <w:tblCellMar>
                                        <w:top w:w="0" w:type="dxa"/>
                                        <w:left w:w="0" w:type="dxa"/>
                                        <w:bottom w:w="0" w:type="dxa"/>
                                        <w:right w:w="0" w:type="dxa"/>
                                      </w:tblCellMar>
                                    </w:tblPrEx>
                                    <w:trPr>
                                      <w:trHeight w:val="516" w:hRule="atLeast"/>
                                    </w:trPr>
                                    <w:tc>
                                      <w:tcPr>
                                        <w:tcW w:w="4526" w:type="dxa"/>
                                        <w:shd w:val="clear" w:color="auto" w:fill="auto"/>
                                        <w:vAlign w:val="top"/>
                                      </w:tcPr>
                                      <w:p>
                                        <w:pPr>
                                          <w:pStyle w:val="12"/>
                                          <w:spacing w:before="105" w:line="202" w:lineRule="auto"/>
                                          <w:jc w:val="left"/>
                                          <w:rPr>
                                            <w:rFonts w:hint="eastAsia" w:ascii="宋体" w:hAnsi="宋体" w:eastAsia="宋体" w:cs="宋体"/>
                                            <w:color w:val="FF0000"/>
                                            <w:kern w:val="2"/>
                                            <w:sz w:val="24"/>
                                            <w:szCs w:val="24"/>
                                            <w:lang w:val="en-US" w:eastAsia="zh-CN" w:bidi="ar-SA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 w:eastAsia="宋体" w:cs="宋体"/>
                                            <w:color w:val="FF0000"/>
                                            <w:kern w:val="2"/>
                                            <w:sz w:val="24"/>
                                            <w:szCs w:val="24"/>
                                            <w:lang w:val="en-US" w:eastAsia="zh-CN" w:bidi="ar-SA"/>
                                          </w:rPr>
                                          <w:t>红绿灯有多少种状态？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573" w:type="dxa"/>
                                        <w:shd w:val="clear" w:color="auto" w:fill="auto"/>
                                        <w:vAlign w:val="top"/>
                                      </w:tcPr>
                                      <w:p>
                                        <w:pPr>
                                          <w:jc w:val="left"/>
                                          <w:rPr>
                                            <w:rFonts w:hint="eastAsia" w:ascii="宋体" w:hAnsi="宋体" w:eastAsia="宋体" w:cs="宋体"/>
                                            <w:color w:val="FF0000"/>
                                            <w:kern w:val="2"/>
                                            <w:sz w:val="24"/>
                                            <w:szCs w:val="24"/>
                                            <w:lang w:val="en-US" w:eastAsia="zh-CN" w:bidi="ar-SA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 w:eastAsia="宋体" w:cs="宋体"/>
                                            <w:color w:val="FF0000"/>
                                            <w:kern w:val="2"/>
                                            <w:sz w:val="24"/>
                                            <w:szCs w:val="24"/>
                                            <w:lang w:val="en-US" w:eastAsia="zh-CN" w:bidi="ar-SA"/>
                                          </w:rPr>
                                          <w:t>红灯、黄灯、绿灯三种状态。</w:t>
                                        </w:r>
                                      </w:p>
                                    </w:tc>
                                  </w:tr>
                                  <w:tr>
                                    <w:tblPrEx>
                                      <w:tblBorders>
                                        <w:top w:val="single" w:color="auto" w:sz="4" w:space="0"/>
                                        <w:left w:val="single" w:color="auto" w:sz="4" w:space="0"/>
                                        <w:bottom w:val="single" w:color="auto" w:sz="4" w:space="0"/>
                                        <w:right w:val="single" w:color="auto" w:sz="4" w:space="0"/>
                                        <w:insideH w:val="single" w:color="auto" w:sz="4" w:space="0"/>
                                        <w:insideV w:val="single" w:color="auto" w:sz="4" w:space="0"/>
                                      </w:tblBorders>
                                      <w:tblCellMar>
                                        <w:top w:w="0" w:type="dxa"/>
                                        <w:left w:w="0" w:type="dxa"/>
                                        <w:bottom w:w="0" w:type="dxa"/>
                                        <w:right w:w="0" w:type="dxa"/>
                                      </w:tblCellMar>
                                    </w:tblPrEx>
                                    <w:trPr>
                                      <w:trHeight w:val="593" w:hRule="atLeast"/>
                                    </w:trPr>
                                    <w:tc>
                                      <w:tcPr>
                                        <w:tcW w:w="4526" w:type="dxa"/>
                                        <w:shd w:val="clear" w:color="auto" w:fill="auto"/>
                                        <w:vAlign w:val="top"/>
                                      </w:tcPr>
                                      <w:p>
                                        <w:pPr>
                                          <w:pStyle w:val="12"/>
                                          <w:spacing w:before="107" w:line="202" w:lineRule="auto"/>
                                          <w:jc w:val="left"/>
                                          <w:rPr>
                                            <w:rFonts w:hint="eastAsia" w:ascii="宋体" w:hAnsi="宋体" w:eastAsia="宋体" w:cs="宋体"/>
                                            <w:color w:val="FF0000"/>
                                            <w:kern w:val="2"/>
                                            <w:sz w:val="24"/>
                                            <w:szCs w:val="24"/>
                                            <w:lang w:val="en-US" w:eastAsia="zh-CN" w:bidi="ar-SA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 w:eastAsia="宋体" w:cs="宋体"/>
                                            <w:color w:val="FF0000"/>
                                            <w:kern w:val="2"/>
                                            <w:sz w:val="24"/>
                                            <w:szCs w:val="24"/>
                                            <w:lang w:val="en-US" w:eastAsia="zh-CN" w:bidi="ar-SA"/>
                                          </w:rPr>
                                          <w:t>模拟制作红绿灯要用哪些材料？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573" w:type="dxa"/>
                                        <w:shd w:val="clear" w:color="auto" w:fill="auto"/>
                                        <w:vAlign w:val="top"/>
                                      </w:tcPr>
                                      <w:p>
                                        <w:pPr>
                                          <w:jc w:val="left"/>
                                          <w:rPr>
                                            <w:rFonts w:hint="eastAsia" w:ascii="宋体" w:hAnsi="宋体" w:eastAsia="宋体" w:cs="宋体"/>
                                            <w:color w:val="FF0000"/>
                                            <w:kern w:val="2"/>
                                            <w:sz w:val="24"/>
                                            <w:szCs w:val="24"/>
                                            <w:lang w:val="en-US" w:eastAsia="zh-CN" w:bidi="ar-SA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 w:eastAsia="宋体" w:cs="宋体"/>
                                            <w:color w:val="FF0000"/>
                                            <w:kern w:val="2"/>
                                            <w:sz w:val="24"/>
                                            <w:szCs w:val="24"/>
                                            <w:lang w:val="en-US" w:eastAsia="zh-CN" w:bidi="ar-SA"/>
                                          </w:rPr>
                                          <w:t>主控板、RGB灯、电源、导线、编程软件等。</w:t>
                                        </w:r>
                                      </w:p>
                                    </w:tc>
                                  </w:tr>
                                  <w:tr>
                                    <w:tblPrEx>
                                      <w:tblBorders>
                                        <w:top w:val="single" w:color="auto" w:sz="4" w:space="0"/>
                                        <w:left w:val="single" w:color="auto" w:sz="4" w:space="0"/>
                                        <w:bottom w:val="single" w:color="auto" w:sz="4" w:space="0"/>
                                        <w:right w:val="single" w:color="auto" w:sz="4" w:space="0"/>
                                        <w:insideH w:val="single" w:color="auto" w:sz="4" w:space="0"/>
                                        <w:insideV w:val="single" w:color="auto" w:sz="4" w:space="0"/>
                                      </w:tblBorders>
                                      <w:tblCellMar>
                                        <w:top w:w="0" w:type="dxa"/>
                                        <w:left w:w="0" w:type="dxa"/>
                                        <w:bottom w:w="0" w:type="dxa"/>
                                        <w:right w:w="0" w:type="dxa"/>
                                      </w:tblCellMar>
                                    </w:tblPrEx>
                                    <w:trPr>
                                      <w:trHeight w:val="652" w:hRule="atLeast"/>
                                    </w:trPr>
                                    <w:tc>
                                      <w:tcPr>
                                        <w:tcW w:w="4526" w:type="dxa"/>
                                        <w:shd w:val="clear" w:color="auto" w:fill="auto"/>
                                        <w:vAlign w:val="top"/>
                                      </w:tcPr>
                                      <w:p>
                                        <w:pPr>
                                          <w:pStyle w:val="12"/>
                                          <w:spacing w:before="109" w:line="203" w:lineRule="auto"/>
                                          <w:jc w:val="left"/>
                                          <w:rPr>
                                            <w:rFonts w:hint="eastAsia" w:ascii="宋体" w:hAnsi="宋体" w:eastAsia="宋体" w:cs="宋体"/>
                                            <w:color w:val="FF0000"/>
                                            <w:kern w:val="2"/>
                                            <w:sz w:val="24"/>
                                            <w:szCs w:val="24"/>
                                            <w:lang w:val="en-US" w:eastAsia="zh-CN" w:bidi="ar-SA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 w:eastAsia="宋体" w:cs="宋体"/>
                                            <w:color w:val="FF0000"/>
                                            <w:kern w:val="2"/>
                                            <w:sz w:val="24"/>
                                            <w:szCs w:val="24"/>
                                            <w:lang w:val="en-US" w:eastAsia="zh-CN" w:bidi="ar-SA"/>
                                          </w:rPr>
                                          <w:t>手动红绿灯如何制作？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573" w:type="dxa"/>
                                        <w:shd w:val="clear" w:color="auto" w:fill="auto"/>
                                        <w:vAlign w:val="top"/>
                                      </w:tcPr>
                                      <w:p>
                                        <w:pPr>
                                          <w:jc w:val="left"/>
                                          <w:rPr>
                                            <w:rFonts w:hint="eastAsia" w:ascii="宋体" w:hAnsi="宋体" w:eastAsia="宋体" w:cs="宋体"/>
                                            <w:color w:val="FF0000"/>
                                            <w:kern w:val="2"/>
                                            <w:sz w:val="24"/>
                                            <w:szCs w:val="24"/>
                                            <w:lang w:val="en-US" w:eastAsia="zh-CN" w:bidi="ar-SA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 w:eastAsia="宋体" w:cs="宋体"/>
                                            <w:color w:val="FF0000"/>
                                            <w:kern w:val="2"/>
                                            <w:sz w:val="24"/>
                                            <w:szCs w:val="24"/>
                                            <w:lang w:val="en-US" w:eastAsia="zh-CN" w:bidi="ar-SA"/>
                                          </w:rPr>
                                          <w:t>通过主控板和RGB灯，编写程序控制灯的颜色变化，模拟红绿灯的亮灯顺序。</w:t>
                                        </w:r>
                                      </w:p>
                                    </w:tc>
                                  </w:tr>
                                  <w:tr>
                                    <w:tblPrEx>
                                      <w:tblBorders>
                                        <w:top w:val="single" w:color="auto" w:sz="4" w:space="0"/>
                                        <w:left w:val="single" w:color="auto" w:sz="4" w:space="0"/>
                                        <w:bottom w:val="single" w:color="auto" w:sz="4" w:space="0"/>
                                        <w:right w:val="single" w:color="auto" w:sz="4" w:space="0"/>
                                        <w:insideH w:val="single" w:color="auto" w:sz="4" w:space="0"/>
                                        <w:insideV w:val="single" w:color="auto" w:sz="4" w:space="0"/>
                                      </w:tblBorders>
                                      <w:tblCellMar>
                                        <w:top w:w="0" w:type="dxa"/>
                                        <w:left w:w="0" w:type="dxa"/>
                                        <w:bottom w:w="0" w:type="dxa"/>
                                        <w:right w:w="0" w:type="dxa"/>
                                      </w:tblCellMar>
                                    </w:tblPrEx>
                                    <w:trPr>
                                      <w:trHeight w:val="725" w:hRule="atLeast"/>
                                    </w:trPr>
                                    <w:tc>
                                      <w:tcPr>
                                        <w:tcW w:w="4526" w:type="dxa"/>
                                        <w:shd w:val="clear" w:color="auto" w:fill="auto"/>
                                        <w:vAlign w:val="top"/>
                                      </w:tcPr>
                                      <w:p>
                                        <w:pPr>
                                          <w:pStyle w:val="12"/>
                                          <w:spacing w:before="111" w:line="202" w:lineRule="auto"/>
                                          <w:jc w:val="left"/>
                                          <w:rPr>
                                            <w:rFonts w:hint="eastAsia" w:ascii="宋体" w:hAnsi="宋体" w:eastAsia="宋体" w:cs="宋体"/>
                                            <w:color w:val="FF0000"/>
                                            <w:kern w:val="2"/>
                                            <w:sz w:val="24"/>
                                            <w:szCs w:val="24"/>
                                            <w:lang w:val="en-US" w:eastAsia="zh-CN" w:bidi="ar-SA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 w:eastAsia="宋体" w:cs="宋体"/>
                                            <w:color w:val="FF0000"/>
                                            <w:kern w:val="2"/>
                                            <w:sz w:val="24"/>
                                            <w:szCs w:val="24"/>
                                            <w:lang w:val="en-US" w:eastAsia="zh-CN" w:bidi="ar-SA"/>
                                          </w:rPr>
                                          <w:t>现有的红绿灯控制系统有哪些功能？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573" w:type="dxa"/>
                                        <w:shd w:val="clear" w:color="auto" w:fill="auto"/>
                                        <w:vAlign w:val="top"/>
                                      </w:tcPr>
                                      <w:p>
                                        <w:pPr>
                                          <w:jc w:val="left"/>
                                          <w:rPr>
                                            <w:rFonts w:hint="eastAsia" w:ascii="宋体" w:hAnsi="宋体" w:eastAsia="宋体" w:cs="宋体"/>
                                            <w:color w:val="FF0000"/>
                                            <w:kern w:val="2"/>
                                            <w:sz w:val="24"/>
                                            <w:szCs w:val="24"/>
                                            <w:lang w:val="en-US" w:eastAsia="zh-CN" w:bidi="ar-SA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 w:eastAsia="宋体" w:cs="宋体"/>
                                            <w:color w:val="FF0000"/>
                                            <w:kern w:val="2"/>
                                            <w:sz w:val="24"/>
                                            <w:szCs w:val="24"/>
                                            <w:lang w:val="en-US" w:eastAsia="zh-CN" w:bidi="ar-SA"/>
                                          </w:rPr>
                                          <w:t>定时切换信号灯、根据交通流量调整信号灯时长、行人过街按钮等。</w:t>
                                        </w:r>
                                      </w:p>
                                    </w:tc>
                                  </w:tr>
                                  <w:tr>
                                    <w:tblPrEx>
                                      <w:tblBorders>
                                        <w:top w:val="single" w:color="auto" w:sz="4" w:space="0"/>
                                        <w:left w:val="single" w:color="auto" w:sz="4" w:space="0"/>
                                        <w:bottom w:val="single" w:color="auto" w:sz="4" w:space="0"/>
                                        <w:right w:val="single" w:color="auto" w:sz="4" w:space="0"/>
                                        <w:insideH w:val="single" w:color="auto" w:sz="4" w:space="0"/>
                                        <w:insideV w:val="single" w:color="auto" w:sz="4" w:space="0"/>
                                      </w:tblBorders>
                                      <w:tblCellMar>
                                        <w:top w:w="0" w:type="dxa"/>
                                        <w:left w:w="0" w:type="dxa"/>
                                        <w:bottom w:w="0" w:type="dxa"/>
                                        <w:right w:w="0" w:type="dxa"/>
                                      </w:tblCellMar>
                                    </w:tblPrEx>
                                    <w:trPr>
                                      <w:trHeight w:val="727" w:hRule="atLeast"/>
                                    </w:trPr>
                                    <w:tc>
                                      <w:tcPr>
                                        <w:tcW w:w="4526" w:type="dxa"/>
                                        <w:shd w:val="clear" w:color="auto" w:fill="auto"/>
                                        <w:vAlign w:val="top"/>
                                      </w:tcPr>
                                      <w:p>
                                        <w:pPr>
                                          <w:pStyle w:val="12"/>
                                          <w:spacing w:before="113" w:line="201" w:lineRule="auto"/>
                                          <w:jc w:val="left"/>
                                          <w:rPr>
                                            <w:rFonts w:hint="eastAsia" w:ascii="宋体" w:hAnsi="宋体" w:eastAsia="宋体" w:cs="宋体"/>
                                            <w:color w:val="FF0000"/>
                                            <w:kern w:val="2"/>
                                            <w:sz w:val="24"/>
                                            <w:szCs w:val="24"/>
                                            <w:lang w:val="en-US" w:eastAsia="zh-CN" w:bidi="ar-SA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 w:eastAsia="宋体" w:cs="宋体"/>
                                            <w:color w:val="FF0000"/>
                                            <w:kern w:val="2"/>
                                            <w:sz w:val="24"/>
                                            <w:szCs w:val="24"/>
                                            <w:lang w:val="en-US" w:eastAsia="zh-CN" w:bidi="ar-SA"/>
                                          </w:rPr>
                                          <w:t>红绿灯的变换顺序和时长应遵循哪些标准？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573" w:type="dxa"/>
                                        <w:shd w:val="clear" w:color="auto" w:fill="auto"/>
                                        <w:vAlign w:val="top"/>
                                      </w:tcPr>
                                      <w:p>
                                        <w:pPr>
                                          <w:jc w:val="left"/>
                                          <w:rPr>
                                            <w:rFonts w:hint="eastAsia" w:ascii="宋体" w:hAnsi="宋体" w:eastAsia="宋体" w:cs="宋体"/>
                                            <w:color w:val="FF0000"/>
                                            <w:kern w:val="2"/>
                                            <w:sz w:val="24"/>
                                            <w:szCs w:val="24"/>
                                            <w:lang w:val="en-US" w:eastAsia="zh-CN" w:bidi="ar-SA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 w:eastAsia="宋体" w:cs="宋体"/>
                                            <w:color w:val="FF0000"/>
                                            <w:kern w:val="2"/>
                                            <w:sz w:val="24"/>
                                            <w:szCs w:val="24"/>
                                            <w:lang w:val="en-US" w:eastAsia="zh-CN" w:bidi="ar-SA"/>
                                          </w:rPr>
                                          <w:t>红灯亮→绿灯亮→黄灯亮，时长根据交通流量和道路情况设定。</w:t>
                                        </w:r>
                                      </w:p>
                                    </w:tc>
                                  </w:tr>
                                  <w:tr>
                                    <w:tblPrEx>
                                      <w:tblBorders>
                                        <w:top w:val="single" w:color="auto" w:sz="4" w:space="0"/>
                                        <w:left w:val="single" w:color="auto" w:sz="4" w:space="0"/>
                                        <w:bottom w:val="single" w:color="auto" w:sz="4" w:space="0"/>
                                        <w:right w:val="single" w:color="auto" w:sz="4" w:space="0"/>
                                        <w:insideH w:val="single" w:color="auto" w:sz="4" w:space="0"/>
                                        <w:insideV w:val="single" w:color="auto" w:sz="4" w:space="0"/>
                                      </w:tblBorders>
                                      <w:tblCellMar>
                                        <w:top w:w="0" w:type="dxa"/>
                                        <w:left w:w="0" w:type="dxa"/>
                                        <w:bottom w:w="0" w:type="dxa"/>
                                        <w:right w:w="0" w:type="dxa"/>
                                      </w:tblCellMar>
                                    </w:tblPrEx>
                                    <w:trPr>
                                      <w:trHeight w:val="763" w:hRule="atLeast"/>
                                    </w:trPr>
                                    <w:tc>
                                      <w:tcPr>
                                        <w:tcW w:w="4526" w:type="dxa"/>
                                        <w:shd w:val="clear" w:color="auto" w:fill="auto"/>
                                        <w:vAlign w:val="top"/>
                                      </w:tcPr>
                                      <w:p>
                                        <w:pPr>
                                          <w:pStyle w:val="12"/>
                                          <w:spacing w:before="116" w:line="202" w:lineRule="auto"/>
                                          <w:jc w:val="left"/>
                                          <w:rPr>
                                            <w:rFonts w:hint="eastAsia" w:ascii="宋体" w:hAnsi="宋体" w:eastAsia="宋体" w:cs="宋体"/>
                                            <w:color w:val="FF0000"/>
                                            <w:kern w:val="2"/>
                                            <w:sz w:val="24"/>
                                            <w:szCs w:val="24"/>
                                            <w:lang w:val="en-US" w:eastAsia="zh-CN" w:bidi="ar-SA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 w:eastAsia="宋体" w:cs="宋体"/>
                                            <w:color w:val="FF0000"/>
                                            <w:kern w:val="2"/>
                                            <w:sz w:val="24"/>
                                            <w:szCs w:val="24"/>
                                            <w:lang w:val="en-US" w:eastAsia="zh-CN" w:bidi="ar-SA"/>
                                          </w:rPr>
                                          <w:t>学校门口的交通流量在不同时间段有何变化？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573" w:type="dxa"/>
                                        <w:shd w:val="clear" w:color="auto" w:fill="auto"/>
                                        <w:vAlign w:val="top"/>
                                      </w:tcPr>
                                      <w:p>
                                        <w:pPr>
                                          <w:jc w:val="left"/>
                                          <w:rPr>
                                            <w:rFonts w:hint="eastAsia" w:ascii="宋体" w:hAnsi="宋体" w:eastAsia="宋体" w:cs="宋体"/>
                                            <w:color w:val="FF0000"/>
                                            <w:kern w:val="2"/>
                                            <w:sz w:val="24"/>
                                            <w:szCs w:val="24"/>
                                            <w:lang w:val="en-US" w:eastAsia="zh-CN" w:bidi="ar-SA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 w:cs="宋体"/>
                                            <w:color w:val="FF0000"/>
                                            <w:sz w:val="24"/>
                                            <w:szCs w:val="24"/>
                                            <w:lang w:val="en-US" w:eastAsia="zh-CN"/>
                                          </w:rPr>
                                          <w:t>上学和放学时段交通流量大，其他时段交通流量相对较小。</w:t>
                                        </w:r>
                                      </w:p>
                                    </w:tc>
                                  </w:tr>
                                </w:tbl>
                                <w:p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6.55pt;margin-top:7.2pt;height:291.35pt;width:469pt;z-index:251661312;mso-width-relative:page;mso-height-relative:page;" fillcolor="#FFFFFF [3201]" filled="t" stroked="t" coordsize="21600,21600" o:gfxdata="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Ad2J5dYA&#10;AAAJAQAADwAAAAAAAAABACAAAAAiAAAAZHJzL2Rvd25yZXYueG1sUEsBAhQAFAAAAAgAh07iQGeD&#10;jhBaAgAAugQAAA4AAAAAAAAAAQAgAAAAJQEAAGRycy9lMm9Eb2MueG1sUEsFBgAAAAAGAAYAWQEA&#10;APEFAAAAAA==&#10;">
                      <v:fill on="t" focussize="0,0"/>
                      <v:stroke weight="0.2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360" w:lineRule="auto"/>
                              <w:ind w:firstLine="480" w:firstLineChars="200"/>
                              <w:jc w:val="center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【</w:t>
                            </w: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  <w:t>查一查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】</w:t>
                            </w:r>
                          </w:p>
                          <w:p>
                            <w:pPr>
                              <w:spacing w:line="360" w:lineRule="auto"/>
                              <w:ind w:firstLine="480" w:firstLineChars="200"/>
                              <w:jc w:val="center"/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表1.4.1红绿灯资料收集表</w:t>
                            </w:r>
                          </w:p>
                          <w:tbl>
                            <w:tblPr>
                              <w:tblStyle w:val="13"/>
                              <w:tblpPr w:leftFromText="180" w:rightFromText="180" w:vertAnchor="page" w:horzAnchor="page" w:tblpX="1170" w:tblpY="2102"/>
                              <w:tblOverlap w:val="never"/>
                              <w:tblW w:w="9099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shd w:val="clear" w:color="auto" w:fill="auto"/>
                              <w:tblLayout w:type="autofit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4526"/>
                              <w:gridCol w:w="4573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shd w:val="clear" w:color="auto" w:fill="auto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07" w:hRule="atLeast"/>
                              </w:trPr>
                              <w:tc>
                                <w:tcPr>
                                  <w:tcW w:w="4526" w:type="dxa"/>
                                  <w:shd w:val="clear" w:color="auto" w:fill="auto"/>
                                  <w:vAlign w:val="top"/>
                                </w:tcPr>
                                <w:p>
                                  <w:pPr>
                                    <w:pStyle w:val="12"/>
                                    <w:spacing w:before="98" w:line="202" w:lineRule="auto"/>
                                    <w:jc w:val="left"/>
                                    <w:rPr>
                                      <w:rFonts w:hint="eastAsia" w:ascii="宋体" w:hAnsi="宋体" w:eastAsia="宋体" w:cs="宋体"/>
                                      <w:color w:val="FF0000"/>
                                      <w:kern w:val="2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FF0000"/>
                                      <w:kern w:val="2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  <w:t>我会思考</w:t>
                                  </w:r>
                                </w:p>
                              </w:tc>
                              <w:tc>
                                <w:tcPr>
                                  <w:tcW w:w="4573" w:type="dxa"/>
                                  <w:shd w:val="clear" w:color="auto" w:fill="auto"/>
                                  <w:vAlign w:val="top"/>
                                </w:tcPr>
                                <w:p>
                                  <w:pPr>
                                    <w:pStyle w:val="12"/>
                                    <w:spacing w:before="98" w:line="203" w:lineRule="auto"/>
                                    <w:jc w:val="left"/>
                                    <w:rPr>
                                      <w:rFonts w:hint="eastAsia" w:ascii="宋体" w:hAnsi="宋体" w:eastAsia="宋体" w:cs="宋体"/>
                                      <w:color w:val="FF0000"/>
                                      <w:kern w:val="2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FF0000"/>
                                      <w:kern w:val="2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  <w:t>我了解到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shd w:val="clear" w:color="auto" w:fill="auto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16" w:hRule="atLeast"/>
                              </w:trPr>
                              <w:tc>
                                <w:tcPr>
                                  <w:tcW w:w="4526" w:type="dxa"/>
                                  <w:shd w:val="clear" w:color="auto" w:fill="auto"/>
                                  <w:vAlign w:val="top"/>
                                </w:tcPr>
                                <w:p>
                                  <w:pPr>
                                    <w:pStyle w:val="12"/>
                                    <w:spacing w:before="105" w:line="202" w:lineRule="auto"/>
                                    <w:jc w:val="left"/>
                                    <w:rPr>
                                      <w:rFonts w:hint="eastAsia" w:ascii="宋体" w:hAnsi="宋体" w:eastAsia="宋体" w:cs="宋体"/>
                                      <w:color w:val="FF0000"/>
                                      <w:kern w:val="2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FF0000"/>
                                      <w:kern w:val="2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  <w:t>红绿灯有多少种状态？</w:t>
                                  </w:r>
                                </w:p>
                              </w:tc>
                              <w:tc>
                                <w:tcPr>
                                  <w:tcW w:w="4573" w:type="dxa"/>
                                  <w:shd w:val="clear" w:color="auto" w:fill="auto"/>
                                  <w:vAlign w:val="top"/>
                                </w:tcPr>
                                <w:p>
                                  <w:pPr>
                                    <w:jc w:val="left"/>
                                    <w:rPr>
                                      <w:rFonts w:hint="eastAsia" w:ascii="宋体" w:hAnsi="宋体" w:eastAsia="宋体" w:cs="宋体"/>
                                      <w:color w:val="FF0000"/>
                                      <w:kern w:val="2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FF0000"/>
                                      <w:kern w:val="2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  <w:t>红灯、黄灯、绿灯三种状态。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93" w:hRule="atLeast"/>
                              </w:trPr>
                              <w:tc>
                                <w:tcPr>
                                  <w:tcW w:w="4526" w:type="dxa"/>
                                  <w:shd w:val="clear" w:color="auto" w:fill="auto"/>
                                  <w:vAlign w:val="top"/>
                                </w:tcPr>
                                <w:p>
                                  <w:pPr>
                                    <w:pStyle w:val="12"/>
                                    <w:spacing w:before="107" w:line="202" w:lineRule="auto"/>
                                    <w:jc w:val="left"/>
                                    <w:rPr>
                                      <w:rFonts w:hint="eastAsia" w:ascii="宋体" w:hAnsi="宋体" w:eastAsia="宋体" w:cs="宋体"/>
                                      <w:color w:val="FF0000"/>
                                      <w:kern w:val="2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FF0000"/>
                                      <w:kern w:val="2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  <w:t>模拟制作红绿灯要用哪些材料？</w:t>
                                  </w:r>
                                </w:p>
                              </w:tc>
                              <w:tc>
                                <w:tcPr>
                                  <w:tcW w:w="4573" w:type="dxa"/>
                                  <w:shd w:val="clear" w:color="auto" w:fill="auto"/>
                                  <w:vAlign w:val="top"/>
                                </w:tcPr>
                                <w:p>
                                  <w:pPr>
                                    <w:jc w:val="left"/>
                                    <w:rPr>
                                      <w:rFonts w:hint="eastAsia" w:ascii="宋体" w:hAnsi="宋体" w:eastAsia="宋体" w:cs="宋体"/>
                                      <w:color w:val="FF0000"/>
                                      <w:kern w:val="2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FF0000"/>
                                      <w:kern w:val="2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  <w:t>主控板、RGB灯、电源、导线、编程软件等。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shd w:val="clear" w:color="auto" w:fill="auto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52" w:hRule="atLeast"/>
                              </w:trPr>
                              <w:tc>
                                <w:tcPr>
                                  <w:tcW w:w="4526" w:type="dxa"/>
                                  <w:shd w:val="clear" w:color="auto" w:fill="auto"/>
                                  <w:vAlign w:val="top"/>
                                </w:tcPr>
                                <w:p>
                                  <w:pPr>
                                    <w:pStyle w:val="12"/>
                                    <w:spacing w:before="109" w:line="203" w:lineRule="auto"/>
                                    <w:jc w:val="left"/>
                                    <w:rPr>
                                      <w:rFonts w:hint="eastAsia" w:ascii="宋体" w:hAnsi="宋体" w:eastAsia="宋体" w:cs="宋体"/>
                                      <w:color w:val="FF0000"/>
                                      <w:kern w:val="2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FF0000"/>
                                      <w:kern w:val="2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  <w:t>手动红绿灯如何制作？</w:t>
                                  </w:r>
                                </w:p>
                              </w:tc>
                              <w:tc>
                                <w:tcPr>
                                  <w:tcW w:w="4573" w:type="dxa"/>
                                  <w:shd w:val="clear" w:color="auto" w:fill="auto"/>
                                  <w:vAlign w:val="top"/>
                                </w:tcPr>
                                <w:p>
                                  <w:pPr>
                                    <w:jc w:val="left"/>
                                    <w:rPr>
                                      <w:rFonts w:hint="eastAsia" w:ascii="宋体" w:hAnsi="宋体" w:eastAsia="宋体" w:cs="宋体"/>
                                      <w:color w:val="FF0000"/>
                                      <w:kern w:val="2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FF0000"/>
                                      <w:kern w:val="2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  <w:t>通过主控板和RGB灯，编写程序控制灯的颜色变化，模拟红绿灯的亮灯顺序。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shd w:val="clear" w:color="auto" w:fill="auto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725" w:hRule="atLeast"/>
                              </w:trPr>
                              <w:tc>
                                <w:tcPr>
                                  <w:tcW w:w="4526" w:type="dxa"/>
                                  <w:shd w:val="clear" w:color="auto" w:fill="auto"/>
                                  <w:vAlign w:val="top"/>
                                </w:tcPr>
                                <w:p>
                                  <w:pPr>
                                    <w:pStyle w:val="12"/>
                                    <w:spacing w:before="111" w:line="202" w:lineRule="auto"/>
                                    <w:jc w:val="left"/>
                                    <w:rPr>
                                      <w:rFonts w:hint="eastAsia" w:ascii="宋体" w:hAnsi="宋体" w:eastAsia="宋体" w:cs="宋体"/>
                                      <w:color w:val="FF0000"/>
                                      <w:kern w:val="2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FF0000"/>
                                      <w:kern w:val="2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  <w:t>现有的红绿灯控制系统有哪些功能？</w:t>
                                  </w:r>
                                </w:p>
                              </w:tc>
                              <w:tc>
                                <w:tcPr>
                                  <w:tcW w:w="4573" w:type="dxa"/>
                                  <w:shd w:val="clear" w:color="auto" w:fill="auto"/>
                                  <w:vAlign w:val="top"/>
                                </w:tcPr>
                                <w:p>
                                  <w:pPr>
                                    <w:jc w:val="left"/>
                                    <w:rPr>
                                      <w:rFonts w:hint="eastAsia" w:ascii="宋体" w:hAnsi="宋体" w:eastAsia="宋体" w:cs="宋体"/>
                                      <w:color w:val="FF0000"/>
                                      <w:kern w:val="2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FF0000"/>
                                      <w:kern w:val="2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  <w:t>定时切换信号灯、根据交通流量调整信号灯时长、行人过街按钮等。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727" w:hRule="atLeast"/>
                              </w:trPr>
                              <w:tc>
                                <w:tcPr>
                                  <w:tcW w:w="4526" w:type="dxa"/>
                                  <w:shd w:val="clear" w:color="auto" w:fill="auto"/>
                                  <w:vAlign w:val="top"/>
                                </w:tcPr>
                                <w:p>
                                  <w:pPr>
                                    <w:pStyle w:val="12"/>
                                    <w:spacing w:before="113" w:line="201" w:lineRule="auto"/>
                                    <w:jc w:val="left"/>
                                    <w:rPr>
                                      <w:rFonts w:hint="eastAsia" w:ascii="宋体" w:hAnsi="宋体" w:eastAsia="宋体" w:cs="宋体"/>
                                      <w:color w:val="FF0000"/>
                                      <w:kern w:val="2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FF0000"/>
                                      <w:kern w:val="2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  <w:t>红绿灯的变换顺序和时长应遵循哪些标准？</w:t>
                                  </w:r>
                                </w:p>
                              </w:tc>
                              <w:tc>
                                <w:tcPr>
                                  <w:tcW w:w="4573" w:type="dxa"/>
                                  <w:shd w:val="clear" w:color="auto" w:fill="auto"/>
                                  <w:vAlign w:val="top"/>
                                </w:tcPr>
                                <w:p>
                                  <w:pPr>
                                    <w:jc w:val="left"/>
                                    <w:rPr>
                                      <w:rFonts w:hint="eastAsia" w:ascii="宋体" w:hAnsi="宋体" w:eastAsia="宋体" w:cs="宋体"/>
                                      <w:color w:val="FF0000"/>
                                      <w:kern w:val="2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FF0000"/>
                                      <w:kern w:val="2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  <w:t>红灯亮→绿灯亮→黄灯亮，时长根据交通流量和道路情况设定。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shd w:val="clear" w:color="auto" w:fill="auto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763" w:hRule="atLeast"/>
                              </w:trPr>
                              <w:tc>
                                <w:tcPr>
                                  <w:tcW w:w="4526" w:type="dxa"/>
                                  <w:shd w:val="clear" w:color="auto" w:fill="auto"/>
                                  <w:vAlign w:val="top"/>
                                </w:tcPr>
                                <w:p>
                                  <w:pPr>
                                    <w:pStyle w:val="12"/>
                                    <w:spacing w:before="116" w:line="202" w:lineRule="auto"/>
                                    <w:jc w:val="left"/>
                                    <w:rPr>
                                      <w:rFonts w:hint="eastAsia" w:ascii="宋体" w:hAnsi="宋体" w:eastAsia="宋体" w:cs="宋体"/>
                                      <w:color w:val="FF0000"/>
                                      <w:kern w:val="2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FF0000"/>
                                      <w:kern w:val="2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  <w:t>学校门口的交通流量在不同时间段有何变化？</w:t>
                                  </w:r>
                                </w:p>
                              </w:tc>
                              <w:tc>
                                <w:tcPr>
                                  <w:tcW w:w="4573" w:type="dxa"/>
                                  <w:shd w:val="clear" w:color="auto" w:fill="auto"/>
                                  <w:vAlign w:val="top"/>
                                </w:tcPr>
                                <w:p>
                                  <w:pPr>
                                    <w:jc w:val="left"/>
                                    <w:rPr>
                                      <w:rFonts w:hint="eastAsia" w:ascii="宋体" w:hAnsi="宋体" w:eastAsia="宋体" w:cs="宋体"/>
                                      <w:color w:val="FF0000"/>
                                      <w:kern w:val="2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color w:val="FF0000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上学和放学时段交通流量大，其他时段交通流量相对较小。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Chars="0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bookmarkStart w:id="3" w:name="OLE_LINK3"/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Chars="0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Chars="0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Chars="0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Chars="0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Chars="0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Chars="0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Chars="0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Chars="0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Chars="0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Chars="0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Chars="0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3.整合资料并思考，这些资料对你有哪些启示？还需要查找什么资料？</w:t>
            </w:r>
          </w:p>
          <w:bookmarkEnd w:id="3"/>
          <w:p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引导学生整理资料、思考启示并列出补充资料清单。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482" w:firstLineChars="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4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模拟一个常见的交通信号灯，红灯、黄灯、绿灯自动切换，完成【课堂任务三】。</w:t>
            </w:r>
          </w:p>
          <w:tbl>
            <w:tblPr>
              <w:tblStyle w:val="7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left w:w="108" w:type="dxa"/>
                <w:right w:w="108" w:type="dxa"/>
              </w:tblCellMar>
            </w:tblPr>
            <w:tblGrid>
              <w:gridCol w:w="962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9638" w:type="dxa"/>
                </w:tcPr>
                <w:p>
                  <w:pPr>
                    <w:spacing w:line="360" w:lineRule="auto"/>
                    <w:ind w:firstLine="482" w:firstLineChars="200"/>
                    <w:jc w:val="center"/>
                    <w:rPr>
                      <w:rFonts w:hint="eastAsia" w:ascii="宋体" w:hAnsi="宋体" w:cs="宋体"/>
                      <w:b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sz w:val="24"/>
                      <w:lang w:val="en-US" w:eastAsia="zh-CN"/>
                    </w:rPr>
                    <w:t>【议一议】</w:t>
                  </w:r>
                </w:p>
                <w:p>
                  <w:pPr>
                    <w:spacing w:line="360" w:lineRule="auto"/>
                    <w:ind w:firstLine="480" w:firstLineChars="200"/>
                    <w:rPr>
                      <w:rFonts w:hint="eastAsia" w:ascii="宋体" w:hAnsi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  <w:lang w:val="en-US" w:eastAsia="zh-CN"/>
                    </w:rPr>
                    <w:t>让我们从一个简单设计入手，先来完成交通信号灯的时间配置方案。</w:t>
                  </w:r>
                </w:p>
                <w:p>
                  <w:pPr>
                    <w:spacing w:line="360" w:lineRule="auto"/>
                    <w:ind w:firstLine="480" w:firstLineChars="200"/>
                    <w:rPr>
                      <w:rFonts w:hint="eastAsia" w:ascii="宋体" w:hAnsi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  <w:lang w:val="en-US" w:eastAsia="zh-CN"/>
                    </w:rPr>
                    <w:t>（1）每个颜色的交通信号灯亮灯的时长一样吗？怎样排列顺序？填写表 1.4.2。</w:t>
                  </w:r>
                </w:p>
                <w:p>
                  <w:pPr>
                    <w:jc w:val="center"/>
                    <w:outlineLvl w:val="1"/>
                    <w:rPr>
                      <w:rFonts w:hint="eastAsia" w:ascii="仿宋" w:hAnsi="仿宋" w:eastAsia="仿宋" w:cs="仿宋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bookmarkStart w:id="4" w:name="_Toc31997"/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vertAlign w:val="baseline"/>
                      <w:lang w:val="en-US" w:eastAsia="zh-CN"/>
                    </w:rPr>
                    <w:t>表1.4.2交通信号灯的配时方案示例</w:t>
                  </w:r>
                  <w:bookmarkEnd w:id="4"/>
                </w:p>
                <w:tbl>
                  <w:tblPr>
                    <w:tblStyle w:val="7"/>
                    <w:tblW w:w="0" w:type="auto"/>
                    <w:tblInd w:w="857" w:type="dxa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autofit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2463"/>
                    <w:gridCol w:w="3321"/>
                    <w:gridCol w:w="2641"/>
                  </w:tblGrid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2463" w:type="dxa"/>
                        <w:vAlign w:val="top"/>
                      </w:tcPr>
                      <w:p>
                        <w:pPr>
                          <w:pStyle w:val="12"/>
                          <w:spacing w:before="116" w:line="202" w:lineRule="auto"/>
                          <w:jc w:val="left"/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颜色</w:t>
                        </w:r>
                      </w:p>
                    </w:tc>
                    <w:tc>
                      <w:tcPr>
                        <w:tcW w:w="3321" w:type="dxa"/>
                        <w:vAlign w:val="top"/>
                      </w:tcPr>
                      <w:p>
                        <w:pPr>
                          <w:pStyle w:val="12"/>
                          <w:spacing w:before="116" w:line="202" w:lineRule="auto"/>
                          <w:jc w:val="left"/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亮灯时长</w:t>
                        </w:r>
                      </w:p>
                    </w:tc>
                    <w:tc>
                      <w:tcPr>
                        <w:tcW w:w="2641" w:type="dxa"/>
                        <w:vAlign w:val="top"/>
                      </w:tcPr>
                      <w:p>
                        <w:pPr>
                          <w:pStyle w:val="12"/>
                          <w:spacing w:before="116" w:line="202" w:lineRule="auto"/>
                          <w:jc w:val="left"/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排序</w:t>
                        </w:r>
                      </w:p>
                    </w:tc>
                  </w:tr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2463" w:type="dxa"/>
                        <w:vAlign w:val="top"/>
                      </w:tcPr>
                      <w:p>
                        <w:pPr>
                          <w:pStyle w:val="12"/>
                          <w:spacing w:before="116" w:line="202" w:lineRule="auto"/>
                          <w:jc w:val="left"/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绿灯</w:t>
                        </w:r>
                      </w:p>
                    </w:tc>
                    <w:tc>
                      <w:tcPr>
                        <w:tcW w:w="3321" w:type="dxa"/>
                        <w:vAlign w:val="top"/>
                      </w:tcPr>
                      <w:p>
                        <w:pPr>
                          <w:pStyle w:val="12"/>
                          <w:spacing w:before="116" w:line="202" w:lineRule="auto"/>
                          <w:jc w:val="left"/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60秒</w:t>
                        </w:r>
                      </w:p>
                    </w:tc>
                    <w:tc>
                      <w:tcPr>
                        <w:tcW w:w="2641" w:type="dxa"/>
                        <w:vAlign w:val="top"/>
                      </w:tcPr>
                      <w:p>
                        <w:pPr>
                          <w:pStyle w:val="12"/>
                          <w:spacing w:before="116" w:line="202" w:lineRule="auto"/>
                          <w:jc w:val="left"/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1</w:t>
                        </w:r>
                      </w:p>
                    </w:tc>
                  </w:tr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2463" w:type="dxa"/>
                        <w:vAlign w:val="top"/>
                      </w:tcPr>
                      <w:p>
                        <w:pPr>
                          <w:pStyle w:val="12"/>
                          <w:spacing w:before="116" w:line="202" w:lineRule="auto"/>
                          <w:jc w:val="left"/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黄灯</w:t>
                        </w:r>
                      </w:p>
                    </w:tc>
                    <w:tc>
                      <w:tcPr>
                        <w:tcW w:w="3321" w:type="dxa"/>
                        <w:vAlign w:val="top"/>
                      </w:tcPr>
                      <w:p>
                        <w:pPr>
                          <w:pStyle w:val="12"/>
                          <w:spacing w:before="116" w:line="202" w:lineRule="auto"/>
                          <w:jc w:val="left"/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3秒</w:t>
                        </w:r>
                      </w:p>
                    </w:tc>
                    <w:tc>
                      <w:tcPr>
                        <w:tcW w:w="2641" w:type="dxa"/>
                        <w:vAlign w:val="top"/>
                      </w:tcPr>
                      <w:p>
                        <w:pPr>
                          <w:pStyle w:val="12"/>
                          <w:spacing w:before="116" w:line="202" w:lineRule="auto"/>
                          <w:jc w:val="left"/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2</w:t>
                        </w:r>
                      </w:p>
                    </w:tc>
                  </w:tr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2463" w:type="dxa"/>
                        <w:vAlign w:val="top"/>
                      </w:tcPr>
                      <w:p>
                        <w:pPr>
                          <w:pStyle w:val="12"/>
                          <w:spacing w:before="116" w:line="202" w:lineRule="auto"/>
                          <w:jc w:val="left"/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红灯</w:t>
                        </w:r>
                      </w:p>
                    </w:tc>
                    <w:tc>
                      <w:tcPr>
                        <w:tcW w:w="3321" w:type="dxa"/>
                        <w:vAlign w:val="top"/>
                      </w:tcPr>
                      <w:p>
                        <w:pPr>
                          <w:pStyle w:val="12"/>
                          <w:spacing w:before="116" w:line="202" w:lineRule="auto"/>
                          <w:jc w:val="left"/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40秒</w:t>
                        </w:r>
                      </w:p>
                    </w:tc>
                    <w:tc>
                      <w:tcPr>
                        <w:tcW w:w="2641" w:type="dxa"/>
                        <w:vAlign w:val="top"/>
                      </w:tcPr>
                      <w:p>
                        <w:pPr>
                          <w:pStyle w:val="12"/>
                          <w:spacing w:before="116" w:line="202" w:lineRule="auto"/>
                          <w:jc w:val="left"/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3</w:t>
                        </w:r>
                      </w:p>
                    </w:tc>
                  </w:tr>
                </w:tbl>
                <w:p>
                  <w:pPr>
                    <w:numPr>
                      <w:ilvl w:val="0"/>
                      <w:numId w:val="1"/>
                    </w:numPr>
                    <w:spacing w:line="360" w:lineRule="auto"/>
                    <w:ind w:firstLine="444" w:firstLineChars="200"/>
                    <w:rPr>
                      <w:rFonts w:hint="eastAsia" w:ascii="宋体" w:hAnsi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pacing w:val="-9"/>
                      <w:sz w:val="24"/>
                      <w:szCs w:val="24"/>
                      <w:lang w:val="en-US" w:eastAsia="zh-CN"/>
                    </w:rPr>
                    <w:drawing>
                      <wp:anchor distT="0" distB="0" distL="114300" distR="114300" simplePos="0" relativeHeight="251662336" behindDoc="0" locked="0" layoutInCell="1" allowOverlap="1">
                        <wp:simplePos x="0" y="0"/>
                        <wp:positionH relativeFrom="column">
                          <wp:posOffset>760730</wp:posOffset>
                        </wp:positionH>
                        <wp:positionV relativeFrom="paragraph">
                          <wp:posOffset>282575</wp:posOffset>
                        </wp:positionV>
                        <wp:extent cx="4085590" cy="1431290"/>
                        <wp:effectExtent l="0" t="0" r="0" b="0"/>
                        <wp:wrapNone/>
                        <wp:docPr id="19" name="图片 35" descr="99fb1437ecf984670642f4141af6f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" name="图片 35" descr="99fb1437ecf984670642f4141af6f6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/>
                                <a:srcRect t="588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085590" cy="14312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hint="eastAsia" w:ascii="宋体" w:hAnsi="宋体" w:cs="宋体"/>
                      <w:sz w:val="24"/>
                      <w:szCs w:val="24"/>
                      <w:lang w:val="en-US" w:eastAsia="zh-CN"/>
                    </w:rPr>
                    <w:t>分析交通信号灯是如何实现工作过程与控制的，填写在图 1.4.5 中。</w:t>
                  </w:r>
                </w:p>
                <w:p>
                  <w:pPr>
                    <w:numPr>
                      <w:numId w:val="0"/>
                    </w:numPr>
                    <w:spacing w:line="360" w:lineRule="auto"/>
                    <w:rPr>
                      <w:rFonts w:hint="eastAsia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>
                            <wp:simplePos x="0" y="0"/>
                            <wp:positionH relativeFrom="column">
                              <wp:posOffset>3709035</wp:posOffset>
                            </wp:positionH>
                            <wp:positionV relativeFrom="paragraph">
                              <wp:posOffset>53340</wp:posOffset>
                            </wp:positionV>
                            <wp:extent cx="1066800" cy="1122680"/>
                            <wp:effectExtent l="0" t="0" r="0" b="0"/>
                            <wp:wrapNone/>
                            <wp:docPr id="39" name="文本框 3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1066800" cy="11226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pStyle w:val="12"/>
                                          <w:spacing w:before="116" w:line="202" w:lineRule="auto"/>
                                          <w:jc w:val="left"/>
                                          <w:rPr>
                                            <w:rFonts w:hint="default" w:ascii="宋体" w:hAnsi="宋体" w:eastAsia="宋体" w:cs="宋体"/>
                                            <w:color w:val="FF0000"/>
                                            <w:kern w:val="2"/>
                                            <w:sz w:val="24"/>
                                            <w:szCs w:val="24"/>
                                            <w:lang w:val="en-US" w:eastAsia="zh-CN" w:bidi="ar-SA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 w:eastAsia="宋体" w:cs="宋体"/>
                                            <w:color w:val="FF0000"/>
                                            <w:kern w:val="2"/>
                                            <w:sz w:val="24"/>
                                            <w:szCs w:val="24"/>
                                            <w:lang w:val="en-US" w:eastAsia="zh-CN" w:bidi="ar-SA"/>
                                          </w:rPr>
                                          <w:t>点亮对应颜色的RGB灯，并关闭上一状态的灯。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202" type="#_x0000_t202" style="position:absolute;left:0pt;margin-left:292.05pt;margin-top:4.2pt;height:88.4pt;width:84pt;z-index:251665408;mso-width-relative:page;mso-height-relative:page;" filled="f" stroked="f" coordsize="21600,21600" o:gfxdata="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X2DqJ2wAAAAoBAAAPAAAAAAAAAAEAIAAA&#10;ACIAAABkcnMvZG93bnJldi54bWxQSwECFAAUAAAACACHTuJAk9bzlkICAAB3BAAADgAAAAAAAAAB&#10;ACAAAAAqAQAAZHJzL2Uyb0RvYy54bWxQSwUGAAAAAAYABgBZAQAA3gUAAAAA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pStyle w:val="12"/>
                                    <w:spacing w:before="116" w:line="202" w:lineRule="auto"/>
                                    <w:jc w:val="left"/>
                                    <w:rPr>
                                      <w:rFonts w:hint="default" w:ascii="宋体" w:hAnsi="宋体" w:eastAsia="宋体" w:cs="宋体"/>
                                      <w:color w:val="FF0000"/>
                                      <w:kern w:val="2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FF0000"/>
                                      <w:kern w:val="2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  <w:t>点亮对应颜色的RGB灯，并关闭上一状态的灯。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>
                            <wp:simplePos x="0" y="0"/>
                            <wp:positionH relativeFrom="column">
                              <wp:posOffset>2336165</wp:posOffset>
                            </wp:positionH>
                            <wp:positionV relativeFrom="paragraph">
                              <wp:posOffset>52070</wp:posOffset>
                            </wp:positionV>
                            <wp:extent cx="912495" cy="865505"/>
                            <wp:effectExtent l="0" t="0" r="1905" b="3175"/>
                            <wp:wrapNone/>
                            <wp:docPr id="38" name="文本框 3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912495" cy="8655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pStyle w:val="12"/>
                                          <w:spacing w:before="116" w:line="202" w:lineRule="auto"/>
                                          <w:jc w:val="left"/>
                                          <w:rPr>
                                            <w:rFonts w:hint="default" w:ascii="宋体" w:hAnsi="宋体" w:eastAsia="宋体" w:cs="宋体"/>
                                            <w:color w:val="FF0000"/>
                                            <w:kern w:val="2"/>
                                            <w:sz w:val="24"/>
                                            <w:szCs w:val="24"/>
                                            <w:lang w:val="en-US" w:eastAsia="zh-CN" w:bidi="ar-SA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 w:eastAsia="宋体" w:cs="宋体"/>
                                            <w:color w:val="FF0000"/>
                                            <w:kern w:val="2"/>
                                            <w:sz w:val="24"/>
                                            <w:szCs w:val="24"/>
                                            <w:lang w:val="en-US" w:eastAsia="zh-CN" w:bidi="ar-SA"/>
                                          </w:rPr>
                                          <w:t>计时和状态切换逻辑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202" type="#_x0000_t202" style="position:absolute;left:0pt;margin-left:183.95pt;margin-top:4.1pt;height:68.15pt;width:71.85pt;z-index:251664384;mso-width-relative:page;mso-height-relative:page;" fillcolor="#FFFFFF" filled="t" stroked="f" coordsize="21600,21600" o:gfxdata="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UzdC1dQAAAAKAQAA&#10;DwAAAAAAAAABACAAAAAiAAAAZHJzL2Rvd25yZXYueG1sUEsBAhQAFAAAAAgAh07iQE819vxWAgAA&#10;nwQAAA4AAAAAAAAAAQAgAAAAIwEAAGRycy9lMm9Eb2MueG1sUEsFBgAAAAAGAAYAWQEAAOsFAAAA&#10;AA==&#10;">
                            <v:fill on="t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pStyle w:val="12"/>
                                    <w:spacing w:before="116" w:line="202" w:lineRule="auto"/>
                                    <w:jc w:val="left"/>
                                    <w:rPr>
                                      <w:rFonts w:hint="default" w:ascii="宋体" w:hAnsi="宋体" w:eastAsia="宋体" w:cs="宋体"/>
                                      <w:color w:val="FF0000"/>
                                      <w:kern w:val="2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FF0000"/>
                                      <w:kern w:val="2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  <w:t>计时和状态切换逻辑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>
                            <wp:simplePos x="0" y="0"/>
                            <wp:positionH relativeFrom="column">
                              <wp:posOffset>875030</wp:posOffset>
                            </wp:positionH>
                            <wp:positionV relativeFrom="paragraph">
                              <wp:posOffset>76200</wp:posOffset>
                            </wp:positionV>
                            <wp:extent cx="1090295" cy="1000125"/>
                            <wp:effectExtent l="0" t="0" r="0" b="0"/>
                            <wp:wrapNone/>
                            <wp:docPr id="37" name="文本框 3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1090295" cy="1000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pStyle w:val="12"/>
                                          <w:spacing w:before="116" w:line="202" w:lineRule="auto"/>
                                          <w:jc w:val="left"/>
                                          <w:rPr>
                                            <w:rFonts w:hint="default" w:ascii="宋体" w:hAnsi="宋体" w:eastAsia="宋体" w:cs="宋体"/>
                                            <w:color w:val="FF0000"/>
                                            <w:kern w:val="2"/>
                                            <w:sz w:val="24"/>
                                            <w:szCs w:val="24"/>
                                            <w:lang w:val="en-US" w:eastAsia="zh-CN" w:bidi="ar-SA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 w:eastAsia="宋体" w:cs="宋体"/>
                                            <w:color w:val="FF0000"/>
                                            <w:kern w:val="2"/>
                                            <w:sz w:val="24"/>
                                            <w:szCs w:val="24"/>
                                            <w:lang w:val="en-US" w:eastAsia="zh-CN" w:bidi="ar-SA"/>
                                          </w:rPr>
                                          <w:t>输入交通信号灯的配时方案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202" type="#_x0000_t202" style="position:absolute;left:0pt;margin-left:68.9pt;margin-top:6pt;height:78.75pt;width:85.85pt;z-index:251663360;mso-width-relative:page;mso-height-relative:page;" filled="f" stroked="f" coordsize="21600,21600" o:gfxdata="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UzQBS2QAAAAgBAAAPAAAAAAAAAAEAIAAA&#10;ACIAAABkcnMvZG93bnJldi54bWxQSwECFAAUAAAACACHTuJAlAnoY0QCAAB3BAAADgAAAAAAAAAB&#10;ACAAAAAoAQAAZHJzL2Uyb0RvYy54bWxQSwUGAAAAAAYABgBZAQAA3gUAAAAA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pStyle w:val="12"/>
                                    <w:spacing w:before="116" w:line="202" w:lineRule="auto"/>
                                    <w:jc w:val="left"/>
                                    <w:rPr>
                                      <w:rFonts w:hint="default" w:ascii="宋体" w:hAnsi="宋体" w:eastAsia="宋体" w:cs="宋体"/>
                                      <w:color w:val="FF0000"/>
                                      <w:kern w:val="2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FF0000"/>
                                      <w:kern w:val="2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  <w:t>输入交通信号灯的配时方案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  <w:p>
                  <w:pPr>
                    <w:numPr>
                      <w:numId w:val="0"/>
                    </w:numPr>
                    <w:spacing w:line="360" w:lineRule="auto"/>
                    <w:rPr>
                      <w:rFonts w:hint="eastAsia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numId w:val="0"/>
                    </w:numPr>
                    <w:spacing w:line="360" w:lineRule="auto"/>
                    <w:rPr>
                      <w:rFonts w:hint="eastAsia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numId w:val="0"/>
                    </w:numPr>
                    <w:spacing w:line="360" w:lineRule="auto"/>
                    <w:rPr>
                      <w:rFonts w:hint="eastAsia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numId w:val="0"/>
                    </w:numPr>
                    <w:spacing w:line="360" w:lineRule="auto"/>
                    <w:rPr>
                      <w:rFonts w:hint="eastAsia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numId w:val="0"/>
                    </w:numPr>
                    <w:spacing w:line="360" w:lineRule="auto"/>
                    <w:jc w:val="center"/>
                    <w:rPr>
                      <w:rFonts w:hint="eastAsia" w:ascii="宋体" w:hAnsi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  <w:lang w:val="en-US" w:eastAsia="zh-CN"/>
                    </w:rPr>
                    <w:t>图1.4.5 交通信号灯工作过程示意图</w:t>
                  </w:r>
                </w:p>
                <w:p>
                  <w:pPr>
                    <w:numPr>
                      <w:ilvl w:val="0"/>
                      <w:numId w:val="1"/>
                    </w:numPr>
                    <w:spacing w:line="360" w:lineRule="auto"/>
                    <w:ind w:left="0" w:leftChars="0" w:firstLine="480" w:firstLineChars="200"/>
                    <w:rPr>
                      <w:rFonts w:hint="eastAsia" w:ascii="宋体" w:hAnsi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  <w:lang w:val="en-US" w:eastAsia="zh-CN"/>
                    </w:rPr>
                    <w:t>按照图 1.4.5 所示工作过程示意图，我们需要准备哪些器材或编程模块？填写在表 1.4.3 中。</w:t>
                  </w:r>
                </w:p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ind w:leftChars="200"/>
                    <w:jc w:val="center"/>
                    <w:rPr>
                      <w:rFonts w:hint="eastAsia" w:ascii="宋体" w:hAnsi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  <w:lang w:val="en-US" w:eastAsia="zh-CN"/>
                    </w:rPr>
                    <w:t>表1.4.3交通信号灯实验器材或编程模块清单</w:t>
                  </w:r>
                </w:p>
                <w:tbl>
                  <w:tblPr>
                    <w:tblStyle w:val="13"/>
                    <w:tblpPr w:leftFromText="180" w:rightFromText="180" w:vertAnchor="text" w:horzAnchor="page" w:tblpX="286" w:tblpY="301"/>
                    <w:tblOverlap w:val="never"/>
                    <w:tblW w:w="8958" w:type="dxa"/>
                    <w:jc w:val="center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shd w:val="clear" w:color="auto" w:fill="auto"/>
                    <w:tblLayout w:type="autofit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245"/>
                    <w:gridCol w:w="2234"/>
                    <w:gridCol w:w="2234"/>
                    <w:gridCol w:w="2245"/>
                  </w:tblGrid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shd w:val="clear" w:color="auto" w:fill="auto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72" w:hRule="atLeast"/>
                      <w:jc w:val="center"/>
                    </w:trPr>
                    <w:tc>
                      <w:tcPr>
                        <w:tcW w:w="2245" w:type="dxa"/>
                        <w:shd w:val="clear" w:color="auto" w:fill="auto"/>
                        <w:vAlign w:val="top"/>
                      </w:tcPr>
                      <w:p>
                        <w:pPr>
                          <w:pStyle w:val="12"/>
                          <w:spacing w:before="116" w:line="202" w:lineRule="auto"/>
                          <w:jc w:val="left"/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环节</w:t>
                        </w:r>
                      </w:p>
                    </w:tc>
                    <w:tc>
                      <w:tcPr>
                        <w:tcW w:w="2234" w:type="dxa"/>
                        <w:shd w:val="clear" w:color="auto" w:fill="auto"/>
                        <w:vAlign w:val="top"/>
                      </w:tcPr>
                      <w:p>
                        <w:pPr>
                          <w:pStyle w:val="12"/>
                          <w:spacing w:before="116" w:line="202" w:lineRule="auto"/>
                          <w:jc w:val="left"/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输入</w:t>
                        </w:r>
                      </w:p>
                    </w:tc>
                    <w:tc>
                      <w:tcPr>
                        <w:tcW w:w="2234" w:type="dxa"/>
                        <w:shd w:val="clear" w:color="auto" w:fill="auto"/>
                        <w:vAlign w:val="top"/>
                      </w:tcPr>
                      <w:p>
                        <w:pPr>
                          <w:pStyle w:val="12"/>
                          <w:spacing w:before="116" w:line="202" w:lineRule="auto"/>
                          <w:jc w:val="left"/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计算</w:t>
                        </w:r>
                      </w:p>
                    </w:tc>
                    <w:tc>
                      <w:tcPr>
                        <w:tcW w:w="2245" w:type="dxa"/>
                        <w:shd w:val="clear" w:color="auto" w:fill="auto"/>
                        <w:vAlign w:val="top"/>
                      </w:tcPr>
                      <w:p>
                        <w:pPr>
                          <w:pStyle w:val="12"/>
                          <w:spacing w:before="116" w:line="202" w:lineRule="auto"/>
                          <w:jc w:val="left"/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输出</w:t>
                        </w:r>
                      </w:p>
                    </w:tc>
                  </w:tr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866" w:hRule="atLeast"/>
                      <w:jc w:val="center"/>
                    </w:trPr>
                    <w:tc>
                      <w:tcPr>
                        <w:tcW w:w="2245" w:type="dxa"/>
                        <w:shd w:val="clear" w:color="auto" w:fill="auto"/>
                        <w:vAlign w:val="top"/>
                      </w:tcPr>
                      <w:p>
                        <w:pPr>
                          <w:pStyle w:val="12"/>
                          <w:spacing w:before="116" w:line="202" w:lineRule="auto"/>
                          <w:jc w:val="left"/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器材或编程模块（用到的主控板的元器件）</w:t>
                        </w:r>
                      </w:p>
                    </w:tc>
                    <w:tc>
                      <w:tcPr>
                        <w:tcW w:w="2234" w:type="dxa"/>
                        <w:shd w:val="clear" w:color="auto" w:fill="auto"/>
                        <w:vAlign w:val="top"/>
                      </w:tcPr>
                      <w:p>
                        <w:pPr>
                          <w:pStyle w:val="12"/>
                          <w:spacing w:before="116" w:line="202" w:lineRule="auto"/>
                          <w:jc w:val="left"/>
                          <w:rPr>
                            <w:rFonts w:hint="default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用来编程计算机、平板电脑或手机，要求已安装好编程软件</w:t>
                        </w:r>
                      </w:p>
                    </w:tc>
                    <w:tc>
                      <w:tcPr>
                        <w:tcW w:w="2234" w:type="dxa"/>
                        <w:shd w:val="clear" w:color="auto" w:fill="auto"/>
                        <w:vAlign w:val="top"/>
                      </w:tcPr>
                      <w:p>
                        <w:pPr>
                          <w:pStyle w:val="12"/>
                          <w:spacing w:before="116" w:line="202" w:lineRule="auto"/>
                          <w:jc w:val="left"/>
                          <w:rPr>
                            <w:rFonts w:hint="default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可以控制灯光开关的控制板</w:t>
                        </w:r>
                      </w:p>
                    </w:tc>
                    <w:tc>
                      <w:tcPr>
                        <w:tcW w:w="2245" w:type="dxa"/>
                        <w:shd w:val="clear" w:color="auto" w:fill="auto"/>
                        <w:vAlign w:val="top"/>
                      </w:tcPr>
                      <w:p>
                        <w:pPr>
                          <w:pStyle w:val="12"/>
                          <w:spacing w:before="116" w:line="202" w:lineRule="auto"/>
                          <w:jc w:val="left"/>
                          <w:rPr>
                            <w:rFonts w:hint="default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红、黄、绿三个颜色的灯</w:t>
                        </w:r>
                      </w:p>
                    </w:tc>
                  </w:tr>
                </w:tbl>
                <w:p>
                  <w:pPr>
                    <w:spacing w:line="360" w:lineRule="auto"/>
                    <w:ind w:firstLine="480" w:firstLineChars="200"/>
                    <w:rPr>
                      <w:rFonts w:hint="eastAsia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  <w:lang w:val="en-US" w:eastAsia="zh-CN"/>
                    </w:rPr>
                    <w:t>学生以小组为单位设计交通信号灯的时长及顺序，填写在表1.4.2中；补充完整交通信号灯工作过程示意图。将需要准备的器材或编程模块填写在表格1.4.3中。</w:t>
                  </w:r>
                </w:p>
              </w:tc>
            </w:tr>
          </w:tbl>
          <w:p>
            <w:pPr>
              <w:spacing w:line="360" w:lineRule="auto"/>
              <w:jc w:val="both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2"/>
              </w:numPr>
              <w:spacing w:line="360" w:lineRule="auto"/>
              <w:ind w:firstLine="482" w:firstLineChars="200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编程搭建交通信号灯</w:t>
            </w:r>
          </w:p>
          <w:p>
            <w:pPr>
              <w:spacing w:line="360" w:lineRule="auto"/>
              <w:ind w:firstLine="480" w:firstLineChars="200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（一）按照之前商定好的方案，下面开始编写控制部分的程序。该怎样通过程序控制三盏灯的定时切换呢？完成【课堂任务四】。</w:t>
            </w:r>
          </w:p>
          <w:tbl>
            <w:tblPr>
              <w:tblStyle w:val="7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left w:w="108" w:type="dxa"/>
                <w:right w:w="108" w:type="dxa"/>
              </w:tblCellMar>
            </w:tblPr>
            <w:tblGrid>
              <w:gridCol w:w="962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left w:w="108" w:type="dxa"/>
                  <w:right w:w="108" w:type="dxa"/>
                </w:tblCellMar>
              </w:tblPrEx>
              <w:tc>
                <w:tcPr>
                  <w:tcW w:w="9638" w:type="dxa"/>
                </w:tcPr>
                <w:p>
                  <w:pPr>
                    <w:spacing w:line="360" w:lineRule="auto"/>
                    <w:ind w:firstLine="482" w:firstLineChars="200"/>
                    <w:jc w:val="center"/>
                    <w:rPr>
                      <w:rFonts w:hint="eastAsia" w:ascii="宋体" w:hAnsi="宋体" w:cs="宋体"/>
                      <w:b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sz w:val="24"/>
                      <w:lang w:val="en-US" w:eastAsia="zh-CN"/>
                    </w:rPr>
                    <w:t>【做一做】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left"/>
                    <w:textAlignment w:val="auto"/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1.交通信号灯系统算法。基本算法如图 1.4.7 所示，请将图 1.4.7 补充完整。</w:t>
                  </w:r>
                </w:p>
                <w:p>
                  <w:pPr>
                    <w:numPr>
                      <w:numId w:val="0"/>
                    </w:numPr>
                    <w:spacing w:line="360" w:lineRule="auto"/>
                    <w:jc w:val="center"/>
                  </w:pPr>
                  <w:r>
                    <w:drawing>
                      <wp:inline distT="0" distB="0" distL="114300" distR="114300">
                        <wp:extent cx="3168015" cy="3282315"/>
                        <wp:effectExtent l="0" t="0" r="1905" b="9525"/>
                        <wp:docPr id="4" name="图片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图片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68015" cy="32823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center"/>
                    <w:textAlignment w:val="auto"/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图 1.4.7    交通信号灯的算法流程图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numPr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360" w:lineRule="auto"/>
                    <w:ind w:leftChars="0" w:firstLine="240" w:firstLineChars="100"/>
                    <w:jc w:val="left"/>
                    <w:textAlignment w:val="auto"/>
                    <w:outlineLvl w:val="9"/>
                    <w:rPr>
                      <w:rFonts w:hint="eastAsia" w:ascii="仿宋" w:hAnsi="仿宋" w:eastAsia="仿宋" w:cs="仿宋"/>
                      <w:color w:val="auto"/>
                      <w:kern w:val="0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2.编写程序。 阅读教材P32图1.4.8交通信号灯系统示例程序，结合小组设计方案，修改编写程序，并运行调试。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left"/>
                    <w:textAlignment w:val="auto"/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drawing>
                      <wp:inline distT="0" distB="0" distL="114300" distR="114300">
                        <wp:extent cx="2939415" cy="3862705"/>
                        <wp:effectExtent l="0" t="0" r="1905" b="8255"/>
                        <wp:docPr id="626" name="IM 626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26" name="IM 626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39415" cy="38627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center"/>
                    <w:textAlignment w:val="auto"/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图 1.4.8    交通信号灯系统的控制程序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left"/>
                    <w:textAlignment w:val="auto"/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3.模拟运行。模拟运行效果如图 1.4.9 所示。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drawing>
                      <wp:inline distT="0" distB="0" distL="114300" distR="114300">
                        <wp:extent cx="4892040" cy="1656715"/>
                        <wp:effectExtent l="0" t="0" r="0" b="4445"/>
                        <wp:docPr id="638" name="IM 638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38" name="IM 638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892040" cy="16567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center"/>
                    <w:textAlignment w:val="auto"/>
                    <w:rPr>
                      <w:rFonts w:hint="eastAsia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图 1.4.9    模拟运行交通信号灯系统</w:t>
                  </w:r>
                </w:p>
              </w:tc>
            </w:tr>
          </w:tbl>
          <w:p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ind w:firstLine="480" w:firstLineChars="200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（二）反思校门口交通信号灯系统的优缺点，完成【课堂任务五】</w:t>
            </w:r>
          </w:p>
          <w:tbl>
            <w:tblPr>
              <w:tblStyle w:val="7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left w:w="108" w:type="dxa"/>
                <w:right w:w="108" w:type="dxa"/>
              </w:tblCellMar>
            </w:tblPr>
            <w:tblGrid>
              <w:gridCol w:w="962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left w:w="108" w:type="dxa"/>
                  <w:right w:w="108" w:type="dxa"/>
                </w:tblCellMar>
              </w:tblPrEx>
              <w:tc>
                <w:tcPr>
                  <w:tcW w:w="9638" w:type="dxa"/>
                </w:tcPr>
                <w:p>
                  <w:pPr>
                    <w:spacing w:line="360" w:lineRule="auto"/>
                    <w:jc w:val="center"/>
                    <w:rPr>
                      <w:rFonts w:hint="eastAsia" w:ascii="宋体" w:hAnsi="宋体" w:cs="宋体"/>
                      <w:b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sz w:val="24"/>
                      <w:lang w:val="en-US" w:eastAsia="zh-CN"/>
                    </w:rPr>
                    <w:t>【想一想】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left"/>
                    <w:textAlignment w:val="auto"/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bookmarkStart w:id="5" w:name="_Toc26049"/>
                  <w:r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为了让我们的设计更加实用，一起反思一下当前的交通信号灯系统有哪些优点和不足。</w:t>
                  </w:r>
                  <w:bookmarkEnd w:id="5"/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left"/>
                    <w:textAlignment w:val="auto"/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优点：变化很及时，能够按照程序设定准确变换。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left"/>
                    <w:textAlignment w:val="auto"/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其他优点：</w:t>
                  </w:r>
                  <w:r>
                    <w:rPr>
                      <w:rFonts w:hint="eastAsia" w:ascii="宋体" w:hAnsi="宋体" w:cs="宋体"/>
                      <w:color w:val="FF0000"/>
                      <w:kern w:val="2"/>
                      <w:sz w:val="24"/>
                      <w:szCs w:val="24"/>
                      <w:u w:val="single"/>
                      <w:lang w:val="en-US" w:eastAsia="zh-CN" w:bidi="ar-SA"/>
                    </w:rPr>
                    <w:t>仅需主控板+RGB灯，硬件结构简单 。</w:t>
                  </w:r>
                  <w:r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 xml:space="preserve">                                                   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left"/>
                    <w:textAlignment w:val="auto"/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不足：主控板的 RGB 灯有点儿小，不明显，提示效果较差。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left"/>
                    <w:textAlignment w:val="auto"/>
                    <w:rPr>
                      <w:rFonts w:hint="eastAsia" w:ascii="宋体" w:hAnsi="宋体" w:cs="宋体"/>
                      <w:b/>
                      <w:bCs/>
                      <w:sz w:val="24"/>
                      <w:lang w:val="en-US" w:eastAsia="zh-CN"/>
                    </w:rPr>
                  </w:pPr>
                  <w:bookmarkStart w:id="6" w:name="_Toc31709"/>
                  <w:r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其他不足：</w:t>
                  </w:r>
                  <w:r>
                    <w:rPr>
                      <w:rFonts w:hint="eastAsia" w:ascii="宋体" w:hAnsi="宋体" w:cs="宋体"/>
                      <w:color w:val="FF0000"/>
                      <w:kern w:val="2"/>
                      <w:sz w:val="24"/>
                      <w:szCs w:val="24"/>
                      <w:u w:val="single"/>
                      <w:lang w:val="en-US" w:eastAsia="zh-CN" w:bidi="ar-SA"/>
                    </w:rPr>
                    <w:t>固定时长模式，无法应对突发人流；未考虑制动距离，黄灯时长不足。</w:t>
                  </w:r>
                  <w:bookmarkEnd w:id="6"/>
                  <w:r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 xml:space="preserve"> </w:t>
                  </w:r>
                  <w:r>
                    <w:rPr>
                      <w:rFonts w:hint="eastAsia" w:ascii="仿宋" w:hAnsi="仿宋" w:eastAsia="仿宋" w:cs="仿宋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 xml:space="preserve"> </w:t>
                  </w:r>
                  <w:r>
                    <w:t xml:space="preserve">  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学生分组交流讨论，设计优化升级方案。</w:t>
            </w:r>
          </w:p>
          <w:p>
            <w:pPr>
              <w:spacing w:line="360" w:lineRule="auto"/>
              <w:ind w:firstLine="482" w:firstLineChars="200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四、学习评价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学生反思互评并记录收获。</w:t>
            </w:r>
          </w:p>
          <w:tbl>
            <w:tblPr>
              <w:tblStyle w:val="7"/>
              <w:tblpPr w:leftFromText="180" w:rightFromText="180" w:vertAnchor="text" w:horzAnchor="page" w:tblpX="268" w:tblpY="121"/>
              <w:tblOverlap w:val="never"/>
              <w:tblW w:w="4883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40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34" w:hRule="atLeast"/>
              </w:trPr>
              <w:tc>
                <w:tcPr>
                  <w:tcW w:w="5000" w:type="pct"/>
                </w:tcPr>
                <w:p>
                  <w:pPr>
                    <w:spacing w:line="360" w:lineRule="auto"/>
                    <w:ind w:firstLine="482" w:firstLineChars="200"/>
                    <w:jc w:val="center"/>
                    <w:rPr>
                      <w:rFonts w:ascii="宋体" w:hAnsi="宋体" w:cs="宋体"/>
                      <w:b/>
                      <w:bCs/>
                      <w:sz w:val="24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sz w:val="24"/>
                    </w:rPr>
                    <w:t>【</w:t>
                  </w:r>
                  <w:r>
                    <w:rPr>
                      <w:rFonts w:hint="eastAsia" w:ascii="宋体" w:hAnsi="宋体" w:cs="宋体"/>
                      <w:b/>
                      <w:bCs/>
                      <w:sz w:val="24"/>
                      <w:lang w:val="en-US" w:eastAsia="zh-CN"/>
                    </w:rPr>
                    <w:t>评一评</w:t>
                  </w:r>
                  <w:r>
                    <w:rPr>
                      <w:rFonts w:hint="eastAsia" w:ascii="宋体" w:hAnsi="宋体" w:cs="宋体"/>
                      <w:b/>
                      <w:bCs/>
                      <w:sz w:val="24"/>
                    </w:rPr>
                    <w:t>】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left"/>
                    <w:textAlignment w:val="auto"/>
                    <w:rPr>
                      <w:rFonts w:hint="default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default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本课，我们尝试制作了交通信号灯，请根据表 1.4.4 中的提示，写下 自己的反思与收获吧！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center"/>
                    <w:textAlignment w:val="auto"/>
                    <w:rPr>
                      <w:rFonts w:hint="default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default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表 1.4.4  评价表</w:t>
                  </w:r>
                </w:p>
                <w:tbl>
                  <w:tblPr>
                    <w:tblStyle w:val="6"/>
                    <w:tblpPr w:leftFromText="180" w:rightFromText="180" w:vertAnchor="text" w:horzAnchor="page" w:tblpX="-1759" w:tblpY="461"/>
                    <w:tblOverlap w:val="never"/>
                    <w:tblW w:w="9017" w:type="dxa"/>
                    <w:tblCellSpacing w:w="0" w:type="dxa"/>
                    <w:tblInd w:w="0" w:type="dxa"/>
                    <w:tblBorders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insideH w:val="none" w:color="auto" w:sz="0" w:space="0"/>
                      <w:insideV w:val="none" w:color="auto" w:sz="0" w:space="0"/>
                    </w:tblBorders>
                    <w:shd w:val="clear" w:color="auto" w:fill="auto"/>
                    <w:tblLayout w:type="autofit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813"/>
                    <w:gridCol w:w="1797"/>
                    <w:gridCol w:w="1797"/>
                    <w:gridCol w:w="1797"/>
                    <w:gridCol w:w="1813"/>
                  </w:tblGrid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shd w:val="clear" w:color="auto" w:fill="auto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04" w:hRule="atLeast"/>
                      <w:tblCellSpacing w:w="0" w:type="dxa"/>
                    </w:trPr>
                    <w:tc>
                      <w:tcPr>
                        <w:tcW w:w="1813" w:type="dxa"/>
                        <w:tcBorders>
                          <w:top w:val="single" w:color="D47119" w:sz="4" w:space="0"/>
                          <w:left w:val="single" w:color="D47119" w:sz="4" w:space="0"/>
                          <w:bottom w:val="single" w:color="D47119" w:sz="4" w:space="0"/>
                          <w:right w:val="single" w:color="D47119" w:sz="4" w:space="0"/>
                        </w:tcBorders>
                        <w:shd w:val="clear" w:color="auto" w:fill="FEE1C4"/>
                        <w:vAlign w:val="top"/>
                      </w:tcPr>
                      <w:p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内容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single" w:color="D47119" w:sz="4" w:space="0"/>
                          <w:left w:val="single" w:color="D47119" w:sz="4" w:space="0"/>
                          <w:bottom w:val="single" w:color="D47119" w:sz="4" w:space="0"/>
                          <w:right w:val="single" w:color="D47119" w:sz="4" w:space="0"/>
                        </w:tcBorders>
                        <w:shd w:val="clear" w:color="auto" w:fill="FEE1C4"/>
                        <w:vAlign w:val="top"/>
                      </w:tcPr>
                      <w:p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遇到的问题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single" w:color="D47119" w:sz="4" w:space="0"/>
                          <w:left w:val="single" w:color="D47119" w:sz="4" w:space="0"/>
                          <w:bottom w:val="single" w:color="D47119" w:sz="4" w:space="0"/>
                          <w:right w:val="single" w:color="D47119" w:sz="4" w:space="0"/>
                        </w:tcBorders>
                        <w:shd w:val="clear" w:color="auto" w:fill="FEE1C4"/>
                        <w:vAlign w:val="top"/>
                      </w:tcPr>
                      <w:p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解决方法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single" w:color="D47119" w:sz="4" w:space="0"/>
                          <w:left w:val="single" w:color="D47119" w:sz="4" w:space="0"/>
                          <w:bottom w:val="single" w:color="D47119" w:sz="4" w:space="0"/>
                          <w:right w:val="single" w:color="D47119" w:sz="4" w:space="0"/>
                        </w:tcBorders>
                        <w:shd w:val="clear" w:color="auto" w:fill="FEE1C4"/>
                        <w:vAlign w:val="top"/>
                      </w:tcPr>
                      <w:p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感悟收获</w:t>
                        </w:r>
                      </w:p>
                    </w:tc>
                    <w:tc>
                      <w:tcPr>
                        <w:tcW w:w="1813" w:type="dxa"/>
                        <w:tcBorders>
                          <w:top w:val="single" w:color="D47119" w:sz="4" w:space="0"/>
                          <w:left w:val="single" w:color="D47119" w:sz="4" w:space="0"/>
                          <w:bottom w:val="single" w:color="D47119" w:sz="4" w:space="0"/>
                          <w:right w:val="single" w:color="D47119" w:sz="4" w:space="0"/>
                        </w:tcBorders>
                        <w:shd w:val="clear" w:color="auto" w:fill="FEE1C4"/>
                        <w:vAlign w:val="top"/>
                      </w:tcPr>
                      <w:p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总体评价</w:t>
                        </w:r>
                      </w:p>
                    </w:tc>
                  </w:tr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shd w:val="clear" w:color="auto" w:fill="auto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04" w:hRule="atLeast"/>
                      <w:tblCellSpacing w:w="0" w:type="dxa"/>
                    </w:trPr>
                    <w:tc>
                      <w:tcPr>
                        <w:tcW w:w="1813" w:type="dxa"/>
                        <w:tcBorders>
                          <w:top w:val="single" w:color="D47119" w:sz="4" w:space="0"/>
                          <w:left w:val="single" w:color="D47119" w:sz="4" w:space="0"/>
                          <w:bottom w:val="single" w:color="D47119" w:sz="4" w:space="0"/>
                          <w:right w:val="single" w:color="D47119" w:sz="4" w:space="0"/>
                        </w:tcBorders>
                        <w:shd w:val="clear" w:color="auto" w:fill="auto"/>
                        <w:vAlign w:val="top"/>
                      </w:tcPr>
                      <w:p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想一想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single" w:color="D47119" w:sz="4" w:space="0"/>
                          <w:left w:val="single" w:color="D47119" w:sz="4" w:space="0"/>
                          <w:bottom w:val="single" w:color="D47119" w:sz="4" w:space="0"/>
                          <w:right w:val="single" w:color="D47119" w:sz="4" w:space="0"/>
                        </w:tcBorders>
                        <w:shd w:val="clear" w:color="auto" w:fill="auto"/>
                        <w:vAlign w:val="top"/>
                      </w:tcPr>
                      <w:p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 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single" w:color="D47119" w:sz="4" w:space="0"/>
                          <w:left w:val="single" w:color="D47119" w:sz="4" w:space="0"/>
                          <w:bottom w:val="single" w:color="D47119" w:sz="4" w:space="0"/>
                          <w:right w:val="single" w:color="D47119" w:sz="4" w:space="0"/>
                        </w:tcBorders>
                        <w:shd w:val="clear" w:color="auto" w:fill="auto"/>
                        <w:vAlign w:val="top"/>
                      </w:tcPr>
                      <w:p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 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single" w:color="D47119" w:sz="4" w:space="0"/>
                          <w:left w:val="single" w:color="D47119" w:sz="4" w:space="0"/>
                          <w:bottom w:val="single" w:color="D47119" w:sz="4" w:space="0"/>
                          <w:right w:val="single" w:color="D47119" w:sz="4" w:space="0"/>
                        </w:tcBorders>
                        <w:shd w:val="clear" w:color="auto" w:fill="auto"/>
                        <w:vAlign w:val="top"/>
                      </w:tcPr>
                      <w:p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 </w:t>
                        </w:r>
                      </w:p>
                    </w:tc>
                    <w:tc>
                      <w:tcPr>
                        <w:tcW w:w="1813" w:type="dxa"/>
                        <w:tcBorders>
                          <w:top w:val="single" w:color="D47119" w:sz="4" w:space="0"/>
                          <w:left w:val="single" w:color="D47119" w:sz="4" w:space="0"/>
                          <w:bottom w:val="single" w:color="D47119" w:sz="4" w:space="0"/>
                          <w:right w:val="single" w:color="D47119" w:sz="4" w:space="0"/>
                        </w:tcBorders>
                        <w:shd w:val="clear" w:color="auto" w:fill="auto"/>
                        <w:vAlign w:val="top"/>
                      </w:tcPr>
                      <w:p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☆☆☆☆☆</w:t>
                        </w:r>
                      </w:p>
                    </w:tc>
                  </w:tr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shd w:val="clear" w:color="auto" w:fill="auto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04" w:hRule="atLeast"/>
                      <w:tblCellSpacing w:w="0" w:type="dxa"/>
                    </w:trPr>
                    <w:tc>
                      <w:tcPr>
                        <w:tcW w:w="1813" w:type="dxa"/>
                        <w:tcBorders>
                          <w:top w:val="single" w:color="D47119" w:sz="4" w:space="0"/>
                          <w:left w:val="single" w:color="D47119" w:sz="4" w:space="0"/>
                          <w:bottom w:val="single" w:color="D47119" w:sz="4" w:space="0"/>
                          <w:right w:val="single" w:color="D47119" w:sz="4" w:space="0"/>
                        </w:tcBorders>
                        <w:shd w:val="clear" w:color="auto" w:fill="auto"/>
                        <w:vAlign w:val="top"/>
                      </w:tcPr>
                      <w:p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查一查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single" w:color="D47119" w:sz="4" w:space="0"/>
                          <w:left w:val="single" w:color="D47119" w:sz="4" w:space="0"/>
                          <w:bottom w:val="single" w:color="D47119" w:sz="4" w:space="0"/>
                          <w:right w:val="single" w:color="D47119" w:sz="4" w:space="0"/>
                        </w:tcBorders>
                        <w:shd w:val="clear" w:color="auto" w:fill="auto"/>
                        <w:vAlign w:val="top"/>
                      </w:tcPr>
                      <w:p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 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single" w:color="D47119" w:sz="4" w:space="0"/>
                          <w:left w:val="single" w:color="D47119" w:sz="4" w:space="0"/>
                          <w:bottom w:val="single" w:color="D47119" w:sz="4" w:space="0"/>
                          <w:right w:val="single" w:color="D47119" w:sz="4" w:space="0"/>
                        </w:tcBorders>
                        <w:shd w:val="clear" w:color="auto" w:fill="auto"/>
                        <w:vAlign w:val="top"/>
                      </w:tcPr>
                      <w:p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 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single" w:color="D47119" w:sz="4" w:space="0"/>
                          <w:left w:val="single" w:color="D47119" w:sz="4" w:space="0"/>
                          <w:bottom w:val="single" w:color="D47119" w:sz="4" w:space="0"/>
                          <w:right w:val="single" w:color="D47119" w:sz="4" w:space="0"/>
                        </w:tcBorders>
                        <w:shd w:val="clear" w:color="auto" w:fill="auto"/>
                        <w:vAlign w:val="top"/>
                      </w:tcPr>
                      <w:p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 </w:t>
                        </w:r>
                      </w:p>
                    </w:tc>
                    <w:tc>
                      <w:tcPr>
                        <w:tcW w:w="1813" w:type="dxa"/>
                        <w:tcBorders>
                          <w:top w:val="single" w:color="D47119" w:sz="4" w:space="0"/>
                          <w:left w:val="single" w:color="D47119" w:sz="4" w:space="0"/>
                          <w:bottom w:val="single" w:color="D47119" w:sz="4" w:space="0"/>
                          <w:right w:val="single" w:color="D47119" w:sz="4" w:space="0"/>
                        </w:tcBorders>
                        <w:shd w:val="clear" w:color="auto" w:fill="auto"/>
                        <w:vAlign w:val="top"/>
                      </w:tcPr>
                      <w:p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☆☆☆☆☆</w:t>
                        </w:r>
                      </w:p>
                    </w:tc>
                  </w:tr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shd w:val="clear" w:color="auto" w:fill="auto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04" w:hRule="atLeast"/>
                      <w:tblCellSpacing w:w="0" w:type="dxa"/>
                    </w:trPr>
                    <w:tc>
                      <w:tcPr>
                        <w:tcW w:w="1813" w:type="dxa"/>
                        <w:tcBorders>
                          <w:top w:val="single" w:color="D47119" w:sz="4" w:space="0"/>
                          <w:left w:val="single" w:color="D47119" w:sz="4" w:space="0"/>
                          <w:bottom w:val="single" w:color="D47119" w:sz="4" w:space="0"/>
                          <w:right w:val="single" w:color="D47119" w:sz="4" w:space="0"/>
                        </w:tcBorders>
                        <w:shd w:val="clear" w:color="auto" w:fill="auto"/>
                        <w:vAlign w:val="top"/>
                      </w:tcPr>
                      <w:p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读一读①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single" w:color="D47119" w:sz="4" w:space="0"/>
                          <w:left w:val="single" w:color="D47119" w:sz="4" w:space="0"/>
                          <w:bottom w:val="single" w:color="D47119" w:sz="4" w:space="0"/>
                          <w:right w:val="single" w:color="D47119" w:sz="4" w:space="0"/>
                        </w:tcBorders>
                        <w:shd w:val="clear" w:color="auto" w:fill="auto"/>
                        <w:vAlign w:val="top"/>
                      </w:tcPr>
                      <w:p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 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single" w:color="D47119" w:sz="4" w:space="0"/>
                          <w:left w:val="single" w:color="D47119" w:sz="4" w:space="0"/>
                          <w:bottom w:val="single" w:color="D47119" w:sz="4" w:space="0"/>
                          <w:right w:val="single" w:color="D47119" w:sz="4" w:space="0"/>
                        </w:tcBorders>
                        <w:shd w:val="clear" w:color="auto" w:fill="auto"/>
                        <w:vAlign w:val="top"/>
                      </w:tcPr>
                      <w:p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 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single" w:color="D47119" w:sz="4" w:space="0"/>
                          <w:left w:val="single" w:color="D47119" w:sz="4" w:space="0"/>
                          <w:bottom w:val="single" w:color="D47119" w:sz="4" w:space="0"/>
                          <w:right w:val="single" w:color="D47119" w:sz="4" w:space="0"/>
                        </w:tcBorders>
                        <w:shd w:val="clear" w:color="auto" w:fill="auto"/>
                        <w:vAlign w:val="top"/>
                      </w:tcPr>
                      <w:p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 </w:t>
                        </w:r>
                      </w:p>
                    </w:tc>
                    <w:tc>
                      <w:tcPr>
                        <w:tcW w:w="1813" w:type="dxa"/>
                        <w:tcBorders>
                          <w:top w:val="single" w:color="D47119" w:sz="4" w:space="0"/>
                          <w:left w:val="single" w:color="D47119" w:sz="4" w:space="0"/>
                          <w:bottom w:val="single" w:color="D47119" w:sz="4" w:space="0"/>
                          <w:right w:val="single" w:color="D47119" w:sz="4" w:space="0"/>
                        </w:tcBorders>
                        <w:shd w:val="clear" w:color="auto" w:fill="auto"/>
                        <w:vAlign w:val="top"/>
                      </w:tcPr>
                      <w:p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☆☆☆☆☆</w:t>
                        </w:r>
                      </w:p>
                    </w:tc>
                  </w:tr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shd w:val="clear" w:color="auto" w:fill="auto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04" w:hRule="atLeast"/>
                      <w:tblCellSpacing w:w="0" w:type="dxa"/>
                    </w:trPr>
                    <w:tc>
                      <w:tcPr>
                        <w:tcW w:w="1813" w:type="dxa"/>
                        <w:tcBorders>
                          <w:top w:val="single" w:color="D47119" w:sz="4" w:space="0"/>
                          <w:left w:val="single" w:color="D47119" w:sz="4" w:space="0"/>
                          <w:bottom w:val="single" w:color="D47119" w:sz="4" w:space="0"/>
                          <w:right w:val="single" w:color="D47119" w:sz="4" w:space="0"/>
                        </w:tcBorders>
                        <w:shd w:val="clear" w:color="auto" w:fill="auto"/>
                        <w:vAlign w:val="top"/>
                      </w:tcPr>
                      <w:p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议一议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single" w:color="D47119" w:sz="4" w:space="0"/>
                          <w:left w:val="single" w:color="D47119" w:sz="4" w:space="0"/>
                          <w:bottom w:val="single" w:color="D47119" w:sz="4" w:space="0"/>
                          <w:right w:val="single" w:color="D47119" w:sz="4" w:space="0"/>
                        </w:tcBorders>
                        <w:shd w:val="clear" w:color="auto" w:fill="auto"/>
                        <w:vAlign w:val="top"/>
                      </w:tcPr>
                      <w:p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 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single" w:color="D47119" w:sz="4" w:space="0"/>
                          <w:left w:val="single" w:color="D47119" w:sz="4" w:space="0"/>
                          <w:bottom w:val="single" w:color="D47119" w:sz="4" w:space="0"/>
                          <w:right w:val="single" w:color="D47119" w:sz="4" w:space="0"/>
                        </w:tcBorders>
                        <w:shd w:val="clear" w:color="auto" w:fill="auto"/>
                        <w:vAlign w:val="top"/>
                      </w:tcPr>
                      <w:p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 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single" w:color="D47119" w:sz="4" w:space="0"/>
                          <w:left w:val="single" w:color="D47119" w:sz="4" w:space="0"/>
                          <w:bottom w:val="single" w:color="D47119" w:sz="4" w:space="0"/>
                          <w:right w:val="single" w:color="D47119" w:sz="4" w:space="0"/>
                        </w:tcBorders>
                        <w:shd w:val="clear" w:color="auto" w:fill="auto"/>
                        <w:vAlign w:val="top"/>
                      </w:tcPr>
                      <w:p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 </w:t>
                        </w:r>
                      </w:p>
                    </w:tc>
                    <w:tc>
                      <w:tcPr>
                        <w:tcW w:w="1813" w:type="dxa"/>
                        <w:tcBorders>
                          <w:top w:val="single" w:color="D47119" w:sz="4" w:space="0"/>
                          <w:left w:val="single" w:color="D47119" w:sz="4" w:space="0"/>
                          <w:bottom w:val="single" w:color="D47119" w:sz="4" w:space="0"/>
                          <w:right w:val="single" w:color="D47119" w:sz="4" w:space="0"/>
                        </w:tcBorders>
                        <w:shd w:val="clear" w:color="auto" w:fill="auto"/>
                        <w:vAlign w:val="top"/>
                      </w:tcPr>
                      <w:p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☆☆☆☆☆</w:t>
                        </w:r>
                      </w:p>
                    </w:tc>
                  </w:tr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shd w:val="clear" w:color="auto" w:fill="auto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04" w:hRule="atLeast"/>
                      <w:tblCellSpacing w:w="0" w:type="dxa"/>
                    </w:trPr>
                    <w:tc>
                      <w:tcPr>
                        <w:tcW w:w="1813" w:type="dxa"/>
                        <w:tcBorders>
                          <w:top w:val="single" w:color="D47119" w:sz="4" w:space="0"/>
                          <w:left w:val="single" w:color="D47119" w:sz="4" w:space="0"/>
                          <w:bottom w:val="single" w:color="D47119" w:sz="4" w:space="0"/>
                          <w:right w:val="single" w:color="D47119" w:sz="4" w:space="0"/>
                        </w:tcBorders>
                        <w:shd w:val="clear" w:color="auto" w:fill="auto"/>
                        <w:vAlign w:val="top"/>
                      </w:tcPr>
                      <w:p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读一读②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single" w:color="D47119" w:sz="4" w:space="0"/>
                          <w:left w:val="single" w:color="D47119" w:sz="4" w:space="0"/>
                          <w:bottom w:val="single" w:color="D47119" w:sz="4" w:space="0"/>
                          <w:right w:val="single" w:color="D47119" w:sz="4" w:space="0"/>
                        </w:tcBorders>
                        <w:shd w:val="clear" w:color="auto" w:fill="auto"/>
                        <w:vAlign w:val="top"/>
                      </w:tcPr>
                      <w:p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 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single" w:color="D47119" w:sz="4" w:space="0"/>
                          <w:left w:val="single" w:color="D47119" w:sz="4" w:space="0"/>
                          <w:bottom w:val="single" w:color="D47119" w:sz="4" w:space="0"/>
                          <w:right w:val="single" w:color="D47119" w:sz="4" w:space="0"/>
                        </w:tcBorders>
                        <w:shd w:val="clear" w:color="auto" w:fill="auto"/>
                        <w:vAlign w:val="top"/>
                      </w:tcPr>
                      <w:p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 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single" w:color="D47119" w:sz="4" w:space="0"/>
                          <w:left w:val="single" w:color="D47119" w:sz="4" w:space="0"/>
                          <w:bottom w:val="single" w:color="D47119" w:sz="4" w:space="0"/>
                          <w:right w:val="single" w:color="D47119" w:sz="4" w:space="0"/>
                        </w:tcBorders>
                        <w:shd w:val="clear" w:color="auto" w:fill="auto"/>
                        <w:vAlign w:val="top"/>
                      </w:tcPr>
                      <w:p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 </w:t>
                        </w:r>
                      </w:p>
                    </w:tc>
                    <w:tc>
                      <w:tcPr>
                        <w:tcW w:w="1813" w:type="dxa"/>
                        <w:tcBorders>
                          <w:top w:val="single" w:color="D47119" w:sz="4" w:space="0"/>
                          <w:left w:val="single" w:color="D47119" w:sz="4" w:space="0"/>
                          <w:bottom w:val="single" w:color="D47119" w:sz="4" w:space="0"/>
                          <w:right w:val="single" w:color="D47119" w:sz="4" w:space="0"/>
                        </w:tcBorders>
                        <w:shd w:val="clear" w:color="auto" w:fill="auto"/>
                        <w:vAlign w:val="top"/>
                      </w:tcPr>
                      <w:p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☆☆☆☆☆</w:t>
                        </w:r>
                      </w:p>
                    </w:tc>
                  </w:tr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shd w:val="clear" w:color="auto" w:fill="auto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04" w:hRule="atLeast"/>
                      <w:tblCellSpacing w:w="0" w:type="dxa"/>
                    </w:trPr>
                    <w:tc>
                      <w:tcPr>
                        <w:tcW w:w="1813" w:type="dxa"/>
                        <w:tcBorders>
                          <w:top w:val="single" w:color="D47119" w:sz="4" w:space="0"/>
                          <w:left w:val="single" w:color="D47119" w:sz="4" w:space="0"/>
                          <w:bottom w:val="single" w:color="D47119" w:sz="4" w:space="0"/>
                          <w:right w:val="single" w:color="D47119" w:sz="4" w:space="0"/>
                        </w:tcBorders>
                        <w:shd w:val="clear" w:color="auto" w:fill="auto"/>
                        <w:vAlign w:val="top"/>
                      </w:tcPr>
                      <w:p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做一做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single" w:color="D47119" w:sz="4" w:space="0"/>
                          <w:left w:val="single" w:color="D47119" w:sz="4" w:space="0"/>
                          <w:bottom w:val="single" w:color="D47119" w:sz="4" w:space="0"/>
                          <w:right w:val="single" w:color="D47119" w:sz="4" w:space="0"/>
                        </w:tcBorders>
                        <w:shd w:val="clear" w:color="auto" w:fill="auto"/>
                        <w:vAlign w:val="top"/>
                      </w:tcPr>
                      <w:p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 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single" w:color="D47119" w:sz="4" w:space="0"/>
                          <w:left w:val="single" w:color="D47119" w:sz="4" w:space="0"/>
                          <w:bottom w:val="single" w:color="D47119" w:sz="4" w:space="0"/>
                          <w:right w:val="single" w:color="D47119" w:sz="4" w:space="0"/>
                        </w:tcBorders>
                        <w:shd w:val="clear" w:color="auto" w:fill="auto"/>
                        <w:vAlign w:val="top"/>
                      </w:tcPr>
                      <w:p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 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single" w:color="D47119" w:sz="4" w:space="0"/>
                          <w:left w:val="single" w:color="D47119" w:sz="4" w:space="0"/>
                          <w:bottom w:val="single" w:color="D47119" w:sz="4" w:space="0"/>
                          <w:right w:val="single" w:color="D47119" w:sz="4" w:space="0"/>
                        </w:tcBorders>
                        <w:shd w:val="clear" w:color="auto" w:fill="auto"/>
                        <w:vAlign w:val="top"/>
                      </w:tcPr>
                      <w:p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 </w:t>
                        </w:r>
                      </w:p>
                    </w:tc>
                    <w:tc>
                      <w:tcPr>
                        <w:tcW w:w="1813" w:type="dxa"/>
                        <w:tcBorders>
                          <w:top w:val="single" w:color="D47119" w:sz="4" w:space="0"/>
                          <w:left w:val="single" w:color="D47119" w:sz="4" w:space="0"/>
                          <w:bottom w:val="single" w:color="D47119" w:sz="4" w:space="0"/>
                          <w:right w:val="single" w:color="D47119" w:sz="4" w:space="0"/>
                        </w:tcBorders>
                        <w:shd w:val="clear" w:color="auto" w:fill="auto"/>
                        <w:vAlign w:val="top"/>
                      </w:tcPr>
                      <w:p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☆☆☆☆☆</w:t>
                        </w:r>
                      </w:p>
                    </w:tc>
                  </w:tr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shd w:val="clear" w:color="auto" w:fill="auto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04" w:hRule="atLeast"/>
                      <w:tblCellSpacing w:w="0" w:type="dxa"/>
                    </w:trPr>
                    <w:tc>
                      <w:tcPr>
                        <w:tcW w:w="1813" w:type="dxa"/>
                        <w:tcBorders>
                          <w:top w:val="single" w:color="D47119" w:sz="4" w:space="0"/>
                          <w:left w:val="single" w:color="D47119" w:sz="4" w:space="0"/>
                          <w:bottom w:val="single" w:color="D47119" w:sz="4" w:space="0"/>
                          <w:right w:val="single" w:color="D47119" w:sz="4" w:space="0"/>
                        </w:tcBorders>
                        <w:shd w:val="clear" w:color="auto" w:fill="auto"/>
                        <w:vAlign w:val="top"/>
                      </w:tcPr>
                      <w:p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读一读③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single" w:color="D47119" w:sz="4" w:space="0"/>
                          <w:left w:val="single" w:color="D47119" w:sz="4" w:space="0"/>
                          <w:bottom w:val="single" w:color="D47119" w:sz="4" w:space="0"/>
                          <w:right w:val="single" w:color="D47119" w:sz="4" w:space="0"/>
                        </w:tcBorders>
                        <w:shd w:val="clear" w:color="auto" w:fill="auto"/>
                        <w:vAlign w:val="top"/>
                      </w:tcPr>
                      <w:p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 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single" w:color="D47119" w:sz="4" w:space="0"/>
                          <w:left w:val="single" w:color="D47119" w:sz="4" w:space="0"/>
                          <w:bottom w:val="single" w:color="D47119" w:sz="4" w:space="0"/>
                          <w:right w:val="single" w:color="D47119" w:sz="4" w:space="0"/>
                        </w:tcBorders>
                        <w:shd w:val="clear" w:color="auto" w:fill="auto"/>
                        <w:vAlign w:val="top"/>
                      </w:tcPr>
                      <w:p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 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single" w:color="D47119" w:sz="4" w:space="0"/>
                          <w:left w:val="single" w:color="D47119" w:sz="4" w:space="0"/>
                          <w:bottom w:val="single" w:color="D47119" w:sz="4" w:space="0"/>
                          <w:right w:val="single" w:color="D47119" w:sz="4" w:space="0"/>
                        </w:tcBorders>
                        <w:shd w:val="clear" w:color="auto" w:fill="auto"/>
                        <w:vAlign w:val="top"/>
                      </w:tcPr>
                      <w:p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 </w:t>
                        </w:r>
                      </w:p>
                    </w:tc>
                    <w:tc>
                      <w:tcPr>
                        <w:tcW w:w="1813" w:type="dxa"/>
                        <w:tcBorders>
                          <w:top w:val="single" w:color="D47119" w:sz="4" w:space="0"/>
                          <w:left w:val="single" w:color="D47119" w:sz="4" w:space="0"/>
                          <w:bottom w:val="single" w:color="D47119" w:sz="4" w:space="0"/>
                          <w:right w:val="single" w:color="D47119" w:sz="4" w:space="0"/>
                        </w:tcBorders>
                        <w:shd w:val="clear" w:color="auto" w:fill="auto"/>
                        <w:vAlign w:val="top"/>
                      </w:tcPr>
                      <w:p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☆☆☆☆☆</w:t>
                        </w:r>
                      </w:p>
                    </w:tc>
                  </w:tr>
                </w:tbl>
                <w:p>
                  <w:pPr>
                    <w:keepNext w:val="0"/>
                    <w:keepLines w:val="0"/>
                    <w:pageBreakBefore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left"/>
                    <w:textAlignment w:val="auto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 xml:space="preserve">                                                                       </w:t>
                  </w:r>
                </w:p>
              </w:tc>
            </w:tr>
          </w:tbl>
          <w:p>
            <w:pPr>
              <w:spacing w:line="360" w:lineRule="auto"/>
              <w:ind w:firstLine="482" w:firstLineChars="200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</w:p>
          <w:p>
            <w:pPr>
              <w:spacing w:line="360" w:lineRule="auto"/>
              <w:ind w:firstLine="482" w:firstLineChars="200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五、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单元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小结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回顾本单元所学内容。</w:t>
            </w:r>
            <w:bookmarkStart w:id="7" w:name="_GoBack"/>
            <w:bookmarkEnd w:id="7"/>
          </w:p>
          <w:p>
            <w:pPr>
              <w:spacing w:line="360" w:lineRule="auto"/>
              <w:ind w:firstLine="480" w:firstLineChars="200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rPr>
          <w:rFonts w:hint="eastAsia"/>
          <w:sz w:val="44"/>
          <w:szCs w:val="44"/>
        </w:rPr>
      </w:pPr>
    </w:p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SentyZHAO 新蒂赵孟頫">
    <w:altName w:val="宋体"/>
    <w:panose1 w:val="00000000000000000000"/>
    <w:charset w:val="86"/>
    <w:family w:val="auto"/>
    <w:pitch w:val="default"/>
    <w:sig w:usb0="00000000" w:usb1="00000000" w:usb2="00000012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482"/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K3ViR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5301" w:firstLineChars="2200"/>
    </w:pPr>
    <w:r>
      <w:rPr>
        <w:rFonts w:hint="eastAsia" w:ascii="SentyZHAO 新蒂赵孟頫" w:hAnsi="SentyZHAO 新蒂赵孟頫" w:eastAsia="SentyZHAO 新蒂赵孟頫" w:cs="SentyZHAO 新蒂赵孟頫"/>
        <w:b/>
        <w:bCs/>
        <w:color w:val="0094C4"/>
        <w:sz w:val="24"/>
        <w:szCs w:val="40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360CC9"/>
    <w:multiLevelType w:val="singleLevel"/>
    <w:tmpl w:val="B5360CC9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BB8FC8F8"/>
    <w:multiLevelType w:val="singleLevel"/>
    <w:tmpl w:val="BB8FC8F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wOGQyOWZlNTQ2N2FkNGQ1N2E3ZDM3ZDYyZTBjNDcifQ=="/>
  </w:docVars>
  <w:rsids>
    <w:rsidRoot w:val="00172A27"/>
    <w:rsid w:val="000675B7"/>
    <w:rsid w:val="00067E8B"/>
    <w:rsid w:val="000A3627"/>
    <w:rsid w:val="000B4EC7"/>
    <w:rsid w:val="00136366"/>
    <w:rsid w:val="00172A27"/>
    <w:rsid w:val="001746C4"/>
    <w:rsid w:val="001C1D23"/>
    <w:rsid w:val="002507E0"/>
    <w:rsid w:val="00285AEF"/>
    <w:rsid w:val="0028606D"/>
    <w:rsid w:val="002A0B06"/>
    <w:rsid w:val="003A471A"/>
    <w:rsid w:val="003D1B2C"/>
    <w:rsid w:val="004929EC"/>
    <w:rsid w:val="004D060F"/>
    <w:rsid w:val="004E0863"/>
    <w:rsid w:val="00555D24"/>
    <w:rsid w:val="005600CD"/>
    <w:rsid w:val="005C6B7D"/>
    <w:rsid w:val="00681222"/>
    <w:rsid w:val="00695DCC"/>
    <w:rsid w:val="006B0B20"/>
    <w:rsid w:val="006C6E21"/>
    <w:rsid w:val="00733E26"/>
    <w:rsid w:val="00734CC1"/>
    <w:rsid w:val="0078768E"/>
    <w:rsid w:val="00815AF3"/>
    <w:rsid w:val="00826DB7"/>
    <w:rsid w:val="008C39A7"/>
    <w:rsid w:val="00985D1C"/>
    <w:rsid w:val="00992AA5"/>
    <w:rsid w:val="009A470A"/>
    <w:rsid w:val="00B9032A"/>
    <w:rsid w:val="00BB1529"/>
    <w:rsid w:val="00BB1A14"/>
    <w:rsid w:val="00CE5DD8"/>
    <w:rsid w:val="00CF7C99"/>
    <w:rsid w:val="00D044E4"/>
    <w:rsid w:val="00D107E8"/>
    <w:rsid w:val="00D13C67"/>
    <w:rsid w:val="00D7184C"/>
    <w:rsid w:val="00D92F11"/>
    <w:rsid w:val="00D93ABC"/>
    <w:rsid w:val="00D973D5"/>
    <w:rsid w:val="00EA5258"/>
    <w:rsid w:val="00EB12F5"/>
    <w:rsid w:val="00F053D4"/>
    <w:rsid w:val="00F44C9A"/>
    <w:rsid w:val="00F626D0"/>
    <w:rsid w:val="012071E5"/>
    <w:rsid w:val="01A7647D"/>
    <w:rsid w:val="01E639BD"/>
    <w:rsid w:val="01F24E47"/>
    <w:rsid w:val="0200793B"/>
    <w:rsid w:val="024E3739"/>
    <w:rsid w:val="027311B4"/>
    <w:rsid w:val="0284231A"/>
    <w:rsid w:val="02C72FA8"/>
    <w:rsid w:val="03590B77"/>
    <w:rsid w:val="03D95E74"/>
    <w:rsid w:val="04074FB1"/>
    <w:rsid w:val="041F679F"/>
    <w:rsid w:val="0424637D"/>
    <w:rsid w:val="044A30F0"/>
    <w:rsid w:val="0462668B"/>
    <w:rsid w:val="05431AC5"/>
    <w:rsid w:val="05663F59"/>
    <w:rsid w:val="0606681E"/>
    <w:rsid w:val="0690419C"/>
    <w:rsid w:val="069074E0"/>
    <w:rsid w:val="070774B1"/>
    <w:rsid w:val="07100621"/>
    <w:rsid w:val="074327A4"/>
    <w:rsid w:val="074F1149"/>
    <w:rsid w:val="076F17EB"/>
    <w:rsid w:val="07886409"/>
    <w:rsid w:val="079F1899"/>
    <w:rsid w:val="07EA0E72"/>
    <w:rsid w:val="07FC11FE"/>
    <w:rsid w:val="08600BC6"/>
    <w:rsid w:val="087B34DB"/>
    <w:rsid w:val="089808CE"/>
    <w:rsid w:val="08E07AE9"/>
    <w:rsid w:val="08F275B4"/>
    <w:rsid w:val="095A16B5"/>
    <w:rsid w:val="09906FB0"/>
    <w:rsid w:val="09D27E0F"/>
    <w:rsid w:val="0A454008"/>
    <w:rsid w:val="0A645B7B"/>
    <w:rsid w:val="0ADD081A"/>
    <w:rsid w:val="0B462176"/>
    <w:rsid w:val="0B7F3FC7"/>
    <w:rsid w:val="0BBB43F7"/>
    <w:rsid w:val="0BC402F7"/>
    <w:rsid w:val="0C1E733C"/>
    <w:rsid w:val="0C6236CC"/>
    <w:rsid w:val="0CEE4F60"/>
    <w:rsid w:val="0DB717F6"/>
    <w:rsid w:val="0DE50E35"/>
    <w:rsid w:val="0E035A17"/>
    <w:rsid w:val="0EA235C5"/>
    <w:rsid w:val="0EAE24FC"/>
    <w:rsid w:val="0EB2020F"/>
    <w:rsid w:val="0F004228"/>
    <w:rsid w:val="0F0B7CEB"/>
    <w:rsid w:val="0F6E0AC3"/>
    <w:rsid w:val="0FAE099F"/>
    <w:rsid w:val="0FF35C57"/>
    <w:rsid w:val="10195214"/>
    <w:rsid w:val="103155B7"/>
    <w:rsid w:val="10EA0134"/>
    <w:rsid w:val="11592BC4"/>
    <w:rsid w:val="115D7A30"/>
    <w:rsid w:val="11915B2A"/>
    <w:rsid w:val="11CB3AC2"/>
    <w:rsid w:val="11EA6840"/>
    <w:rsid w:val="12105979"/>
    <w:rsid w:val="121C60CC"/>
    <w:rsid w:val="125C0A6D"/>
    <w:rsid w:val="128A6EDF"/>
    <w:rsid w:val="12A85AEE"/>
    <w:rsid w:val="136F3FAF"/>
    <w:rsid w:val="141B5045"/>
    <w:rsid w:val="141C0605"/>
    <w:rsid w:val="144C474B"/>
    <w:rsid w:val="145204CA"/>
    <w:rsid w:val="147B0A4C"/>
    <w:rsid w:val="14CF38C9"/>
    <w:rsid w:val="14F46C8E"/>
    <w:rsid w:val="1525265A"/>
    <w:rsid w:val="15FE7004"/>
    <w:rsid w:val="168E3FD0"/>
    <w:rsid w:val="16F62850"/>
    <w:rsid w:val="170E3F5B"/>
    <w:rsid w:val="170F61FF"/>
    <w:rsid w:val="172B7D93"/>
    <w:rsid w:val="175C51BC"/>
    <w:rsid w:val="17870ECB"/>
    <w:rsid w:val="17951EBF"/>
    <w:rsid w:val="179B6E47"/>
    <w:rsid w:val="17AB3A40"/>
    <w:rsid w:val="17E23EC4"/>
    <w:rsid w:val="183103F7"/>
    <w:rsid w:val="187B37DA"/>
    <w:rsid w:val="187D5999"/>
    <w:rsid w:val="18AA14DA"/>
    <w:rsid w:val="193E2DCB"/>
    <w:rsid w:val="19AF7825"/>
    <w:rsid w:val="19C66BC2"/>
    <w:rsid w:val="1A1D6E85"/>
    <w:rsid w:val="1A7C7F4E"/>
    <w:rsid w:val="1AA475E6"/>
    <w:rsid w:val="1AC819CB"/>
    <w:rsid w:val="1ADC6D40"/>
    <w:rsid w:val="1B4548E5"/>
    <w:rsid w:val="1BB93363"/>
    <w:rsid w:val="1BD73063"/>
    <w:rsid w:val="1C0146F9"/>
    <w:rsid w:val="1C24137C"/>
    <w:rsid w:val="1C2E5F55"/>
    <w:rsid w:val="1CD12A04"/>
    <w:rsid w:val="1CE41EDC"/>
    <w:rsid w:val="1D1D2A80"/>
    <w:rsid w:val="1D232A04"/>
    <w:rsid w:val="1D3B7F60"/>
    <w:rsid w:val="1D410EAA"/>
    <w:rsid w:val="1D84115C"/>
    <w:rsid w:val="1E032835"/>
    <w:rsid w:val="1E205C1D"/>
    <w:rsid w:val="1E5259AF"/>
    <w:rsid w:val="1E63180A"/>
    <w:rsid w:val="1E6908EA"/>
    <w:rsid w:val="1E9021F1"/>
    <w:rsid w:val="1EA2191F"/>
    <w:rsid w:val="1EA57976"/>
    <w:rsid w:val="1EDC0404"/>
    <w:rsid w:val="1EE066D3"/>
    <w:rsid w:val="1EFD3583"/>
    <w:rsid w:val="1F520AA7"/>
    <w:rsid w:val="1FFC6EFB"/>
    <w:rsid w:val="201009A4"/>
    <w:rsid w:val="203E66A2"/>
    <w:rsid w:val="207A2D48"/>
    <w:rsid w:val="20DE6C42"/>
    <w:rsid w:val="20E73C90"/>
    <w:rsid w:val="210E5779"/>
    <w:rsid w:val="215313DE"/>
    <w:rsid w:val="21627873"/>
    <w:rsid w:val="216A315E"/>
    <w:rsid w:val="21C83B79"/>
    <w:rsid w:val="21EE11B1"/>
    <w:rsid w:val="21FE02AF"/>
    <w:rsid w:val="22127D01"/>
    <w:rsid w:val="226C2065"/>
    <w:rsid w:val="2288784E"/>
    <w:rsid w:val="22A55C69"/>
    <w:rsid w:val="22C759AB"/>
    <w:rsid w:val="22CC58EC"/>
    <w:rsid w:val="22D62C79"/>
    <w:rsid w:val="2320343E"/>
    <w:rsid w:val="23557920"/>
    <w:rsid w:val="23812232"/>
    <w:rsid w:val="238E0DF3"/>
    <w:rsid w:val="23C460CE"/>
    <w:rsid w:val="23CE1A7B"/>
    <w:rsid w:val="23D246D0"/>
    <w:rsid w:val="23EC412D"/>
    <w:rsid w:val="24160983"/>
    <w:rsid w:val="24C04FDC"/>
    <w:rsid w:val="24CE1554"/>
    <w:rsid w:val="24DC61B1"/>
    <w:rsid w:val="25C15BE4"/>
    <w:rsid w:val="26465AA0"/>
    <w:rsid w:val="2647756E"/>
    <w:rsid w:val="26716BB6"/>
    <w:rsid w:val="26932C11"/>
    <w:rsid w:val="269E30FB"/>
    <w:rsid w:val="26D97172"/>
    <w:rsid w:val="270F7B55"/>
    <w:rsid w:val="273735BA"/>
    <w:rsid w:val="273E5FC1"/>
    <w:rsid w:val="28464F21"/>
    <w:rsid w:val="284D4DD9"/>
    <w:rsid w:val="28786E08"/>
    <w:rsid w:val="28B9246E"/>
    <w:rsid w:val="28E514B5"/>
    <w:rsid w:val="292C58F8"/>
    <w:rsid w:val="293164A9"/>
    <w:rsid w:val="294206B6"/>
    <w:rsid w:val="296B53EE"/>
    <w:rsid w:val="298911A4"/>
    <w:rsid w:val="29BF1D06"/>
    <w:rsid w:val="2A543139"/>
    <w:rsid w:val="2AAF230D"/>
    <w:rsid w:val="2ACE1AD5"/>
    <w:rsid w:val="2B1E39FC"/>
    <w:rsid w:val="2B4324C3"/>
    <w:rsid w:val="2B471470"/>
    <w:rsid w:val="2B5C5333"/>
    <w:rsid w:val="2B7E00C8"/>
    <w:rsid w:val="2B9C25F7"/>
    <w:rsid w:val="2BED61BF"/>
    <w:rsid w:val="2C243213"/>
    <w:rsid w:val="2C4518C4"/>
    <w:rsid w:val="2C537B69"/>
    <w:rsid w:val="2C6E5E3A"/>
    <w:rsid w:val="2C865992"/>
    <w:rsid w:val="2CB847EB"/>
    <w:rsid w:val="2CFF6718"/>
    <w:rsid w:val="2D482013"/>
    <w:rsid w:val="2D8154CD"/>
    <w:rsid w:val="2DB664B0"/>
    <w:rsid w:val="2DCF6290"/>
    <w:rsid w:val="2DD438A6"/>
    <w:rsid w:val="2E432FE6"/>
    <w:rsid w:val="2E494294"/>
    <w:rsid w:val="2E532A1D"/>
    <w:rsid w:val="2E652D42"/>
    <w:rsid w:val="2E6E5AA9"/>
    <w:rsid w:val="2E762724"/>
    <w:rsid w:val="2ECC2921"/>
    <w:rsid w:val="2F4D7DE6"/>
    <w:rsid w:val="2F5729E1"/>
    <w:rsid w:val="2FB7522E"/>
    <w:rsid w:val="30085A89"/>
    <w:rsid w:val="301E7E1A"/>
    <w:rsid w:val="30240A03"/>
    <w:rsid w:val="3037780B"/>
    <w:rsid w:val="306F61F6"/>
    <w:rsid w:val="30DA5678"/>
    <w:rsid w:val="314153ED"/>
    <w:rsid w:val="315216B2"/>
    <w:rsid w:val="317258B0"/>
    <w:rsid w:val="318B6972"/>
    <w:rsid w:val="31975317"/>
    <w:rsid w:val="319E109F"/>
    <w:rsid w:val="31A71F19"/>
    <w:rsid w:val="31AA329C"/>
    <w:rsid w:val="31CC3212"/>
    <w:rsid w:val="31D42016"/>
    <w:rsid w:val="327908ED"/>
    <w:rsid w:val="333C6176"/>
    <w:rsid w:val="333E5824"/>
    <w:rsid w:val="334202F3"/>
    <w:rsid w:val="33CC25A8"/>
    <w:rsid w:val="34087E66"/>
    <w:rsid w:val="3422222F"/>
    <w:rsid w:val="34483B70"/>
    <w:rsid w:val="34635BE4"/>
    <w:rsid w:val="34755A99"/>
    <w:rsid w:val="34DD1923"/>
    <w:rsid w:val="34E645EB"/>
    <w:rsid w:val="35B2271F"/>
    <w:rsid w:val="3615180B"/>
    <w:rsid w:val="362A316D"/>
    <w:rsid w:val="36605639"/>
    <w:rsid w:val="368816D2"/>
    <w:rsid w:val="369E7508"/>
    <w:rsid w:val="36A00E93"/>
    <w:rsid w:val="36B80C3B"/>
    <w:rsid w:val="36F526D9"/>
    <w:rsid w:val="370E607B"/>
    <w:rsid w:val="374C0952"/>
    <w:rsid w:val="377B64DC"/>
    <w:rsid w:val="37983B97"/>
    <w:rsid w:val="384F7C6E"/>
    <w:rsid w:val="38755FB3"/>
    <w:rsid w:val="389820A0"/>
    <w:rsid w:val="38BC6E99"/>
    <w:rsid w:val="38D94D40"/>
    <w:rsid w:val="38DB1F8D"/>
    <w:rsid w:val="39122F89"/>
    <w:rsid w:val="39626A70"/>
    <w:rsid w:val="3986639D"/>
    <w:rsid w:val="39E83452"/>
    <w:rsid w:val="39F21F12"/>
    <w:rsid w:val="3A1C7480"/>
    <w:rsid w:val="3A3C7179"/>
    <w:rsid w:val="3AA04683"/>
    <w:rsid w:val="3AA810DF"/>
    <w:rsid w:val="3AC14B10"/>
    <w:rsid w:val="3AD155DE"/>
    <w:rsid w:val="3AE1640C"/>
    <w:rsid w:val="3B6444BC"/>
    <w:rsid w:val="3B9603ED"/>
    <w:rsid w:val="3C2105FF"/>
    <w:rsid w:val="3C241B9C"/>
    <w:rsid w:val="3C4147FD"/>
    <w:rsid w:val="3C4B11D8"/>
    <w:rsid w:val="3C613E3F"/>
    <w:rsid w:val="3C822055"/>
    <w:rsid w:val="3C863B7B"/>
    <w:rsid w:val="3CBE7BFC"/>
    <w:rsid w:val="3CD55607"/>
    <w:rsid w:val="3CE05DC4"/>
    <w:rsid w:val="3D5531D9"/>
    <w:rsid w:val="3D9441D2"/>
    <w:rsid w:val="3DA77D7E"/>
    <w:rsid w:val="3DAF081D"/>
    <w:rsid w:val="3DD86C16"/>
    <w:rsid w:val="3DE90CA8"/>
    <w:rsid w:val="3E8C4523"/>
    <w:rsid w:val="3EA018E1"/>
    <w:rsid w:val="3EB70DA6"/>
    <w:rsid w:val="3EF77BB2"/>
    <w:rsid w:val="3F281A71"/>
    <w:rsid w:val="3F340649"/>
    <w:rsid w:val="3FB41EE5"/>
    <w:rsid w:val="3FCE7AC4"/>
    <w:rsid w:val="3FE479AA"/>
    <w:rsid w:val="40271F5C"/>
    <w:rsid w:val="408711A0"/>
    <w:rsid w:val="40A84E4B"/>
    <w:rsid w:val="40F37AD9"/>
    <w:rsid w:val="41E719A3"/>
    <w:rsid w:val="41F4535B"/>
    <w:rsid w:val="41F91A9B"/>
    <w:rsid w:val="42045F20"/>
    <w:rsid w:val="420E12C4"/>
    <w:rsid w:val="420E6F2F"/>
    <w:rsid w:val="42537038"/>
    <w:rsid w:val="42D36816"/>
    <w:rsid w:val="43246D8D"/>
    <w:rsid w:val="435A7F52"/>
    <w:rsid w:val="43A538C3"/>
    <w:rsid w:val="444154C5"/>
    <w:rsid w:val="449D30CC"/>
    <w:rsid w:val="44AE4866"/>
    <w:rsid w:val="45772895"/>
    <w:rsid w:val="457D1D9C"/>
    <w:rsid w:val="45803400"/>
    <w:rsid w:val="45BB79DD"/>
    <w:rsid w:val="45CF72E9"/>
    <w:rsid w:val="46093D49"/>
    <w:rsid w:val="46130FB8"/>
    <w:rsid w:val="462B5EFF"/>
    <w:rsid w:val="462D21C8"/>
    <w:rsid w:val="463B7C5D"/>
    <w:rsid w:val="4655438B"/>
    <w:rsid w:val="46B857AC"/>
    <w:rsid w:val="46E91D19"/>
    <w:rsid w:val="47094169"/>
    <w:rsid w:val="472C06F0"/>
    <w:rsid w:val="47A345BE"/>
    <w:rsid w:val="47F6269E"/>
    <w:rsid w:val="48223721"/>
    <w:rsid w:val="48912514"/>
    <w:rsid w:val="48964F48"/>
    <w:rsid w:val="489D5879"/>
    <w:rsid w:val="48BF5427"/>
    <w:rsid w:val="48C5456D"/>
    <w:rsid w:val="492749FA"/>
    <w:rsid w:val="49423962"/>
    <w:rsid w:val="49663AF5"/>
    <w:rsid w:val="49B34D65"/>
    <w:rsid w:val="49DE16BA"/>
    <w:rsid w:val="4A304379"/>
    <w:rsid w:val="4A3B6D2F"/>
    <w:rsid w:val="4A4361AB"/>
    <w:rsid w:val="4A7D2EA4"/>
    <w:rsid w:val="4A891FFB"/>
    <w:rsid w:val="4A93444B"/>
    <w:rsid w:val="4AA448D5"/>
    <w:rsid w:val="4AB83EDC"/>
    <w:rsid w:val="4ABB39CC"/>
    <w:rsid w:val="4AF56A77"/>
    <w:rsid w:val="4B683B54"/>
    <w:rsid w:val="4B7750CC"/>
    <w:rsid w:val="4B9A5CD8"/>
    <w:rsid w:val="4BA267FC"/>
    <w:rsid w:val="4BAA316A"/>
    <w:rsid w:val="4C0513A3"/>
    <w:rsid w:val="4C455C15"/>
    <w:rsid w:val="4CAA5AA7"/>
    <w:rsid w:val="4CAC4C11"/>
    <w:rsid w:val="4CCE2D28"/>
    <w:rsid w:val="4CD65AF1"/>
    <w:rsid w:val="4D2B3A13"/>
    <w:rsid w:val="4D3E0F5C"/>
    <w:rsid w:val="4DD0778F"/>
    <w:rsid w:val="4DD54DA5"/>
    <w:rsid w:val="4DE93BB4"/>
    <w:rsid w:val="4E0D6834"/>
    <w:rsid w:val="4EDC0E0D"/>
    <w:rsid w:val="4F455F5A"/>
    <w:rsid w:val="4FBF7ABB"/>
    <w:rsid w:val="502D564B"/>
    <w:rsid w:val="50870229"/>
    <w:rsid w:val="50977462"/>
    <w:rsid w:val="50F44968"/>
    <w:rsid w:val="51815325"/>
    <w:rsid w:val="51826FF2"/>
    <w:rsid w:val="51CF67BB"/>
    <w:rsid w:val="51FE53F3"/>
    <w:rsid w:val="520D7203"/>
    <w:rsid w:val="521C1E3B"/>
    <w:rsid w:val="523E2D7D"/>
    <w:rsid w:val="524B21DC"/>
    <w:rsid w:val="524D13AE"/>
    <w:rsid w:val="528D3EA0"/>
    <w:rsid w:val="52A766E1"/>
    <w:rsid w:val="52CD0741"/>
    <w:rsid w:val="534307B9"/>
    <w:rsid w:val="539A6875"/>
    <w:rsid w:val="53C47488"/>
    <w:rsid w:val="541128AF"/>
    <w:rsid w:val="542919A7"/>
    <w:rsid w:val="543875EA"/>
    <w:rsid w:val="54420CBA"/>
    <w:rsid w:val="546B2430"/>
    <w:rsid w:val="54A737D9"/>
    <w:rsid w:val="54AD25D8"/>
    <w:rsid w:val="54E56DB8"/>
    <w:rsid w:val="55081F04"/>
    <w:rsid w:val="55152A77"/>
    <w:rsid w:val="56356D29"/>
    <w:rsid w:val="56624F15"/>
    <w:rsid w:val="56763F09"/>
    <w:rsid w:val="56C8194B"/>
    <w:rsid w:val="57122577"/>
    <w:rsid w:val="571713FD"/>
    <w:rsid w:val="571E0B54"/>
    <w:rsid w:val="57923D07"/>
    <w:rsid w:val="57A17B55"/>
    <w:rsid w:val="57B41ECF"/>
    <w:rsid w:val="57E559D8"/>
    <w:rsid w:val="58006EC2"/>
    <w:rsid w:val="58276B45"/>
    <w:rsid w:val="58311772"/>
    <w:rsid w:val="58405B96"/>
    <w:rsid w:val="585B5505"/>
    <w:rsid w:val="58921AD3"/>
    <w:rsid w:val="58A64B5E"/>
    <w:rsid w:val="58DC780C"/>
    <w:rsid w:val="58F9403E"/>
    <w:rsid w:val="59943749"/>
    <w:rsid w:val="59D127BD"/>
    <w:rsid w:val="59F04FD3"/>
    <w:rsid w:val="5A671707"/>
    <w:rsid w:val="5A6D542E"/>
    <w:rsid w:val="5A7B553F"/>
    <w:rsid w:val="5AC62C88"/>
    <w:rsid w:val="5B2F1F99"/>
    <w:rsid w:val="5B4A09F7"/>
    <w:rsid w:val="5B767BC7"/>
    <w:rsid w:val="5B9F607C"/>
    <w:rsid w:val="5BB24399"/>
    <w:rsid w:val="5BD40D92"/>
    <w:rsid w:val="5C001B87"/>
    <w:rsid w:val="5C82434A"/>
    <w:rsid w:val="5C9D6E8B"/>
    <w:rsid w:val="5CBB7593"/>
    <w:rsid w:val="5D33071F"/>
    <w:rsid w:val="5D3C099D"/>
    <w:rsid w:val="5D647EF4"/>
    <w:rsid w:val="5D6572C2"/>
    <w:rsid w:val="5DD706C5"/>
    <w:rsid w:val="5DDD7B99"/>
    <w:rsid w:val="5E084CA6"/>
    <w:rsid w:val="5E4D3DF3"/>
    <w:rsid w:val="5E6A778C"/>
    <w:rsid w:val="5F1527E7"/>
    <w:rsid w:val="5F1576F7"/>
    <w:rsid w:val="5F860C81"/>
    <w:rsid w:val="5F8623A3"/>
    <w:rsid w:val="5FC87DF3"/>
    <w:rsid w:val="5FCF53CD"/>
    <w:rsid w:val="5FEB06C4"/>
    <w:rsid w:val="60067632"/>
    <w:rsid w:val="607448F1"/>
    <w:rsid w:val="61163A44"/>
    <w:rsid w:val="611F0F53"/>
    <w:rsid w:val="61227EAA"/>
    <w:rsid w:val="61235089"/>
    <w:rsid w:val="614054ED"/>
    <w:rsid w:val="616B1343"/>
    <w:rsid w:val="616F4BE7"/>
    <w:rsid w:val="62956D6A"/>
    <w:rsid w:val="62A9515B"/>
    <w:rsid w:val="62AE40EB"/>
    <w:rsid w:val="62EE4B72"/>
    <w:rsid w:val="631819C5"/>
    <w:rsid w:val="631B2313"/>
    <w:rsid w:val="633604BC"/>
    <w:rsid w:val="635F53E5"/>
    <w:rsid w:val="63814E23"/>
    <w:rsid w:val="63B75221"/>
    <w:rsid w:val="640124ED"/>
    <w:rsid w:val="640A6EFE"/>
    <w:rsid w:val="642D103F"/>
    <w:rsid w:val="658C3CD3"/>
    <w:rsid w:val="65B10BA4"/>
    <w:rsid w:val="65EA7867"/>
    <w:rsid w:val="661E1587"/>
    <w:rsid w:val="66353439"/>
    <w:rsid w:val="66682803"/>
    <w:rsid w:val="66CD6B09"/>
    <w:rsid w:val="66FF7AB3"/>
    <w:rsid w:val="67206C39"/>
    <w:rsid w:val="67317098"/>
    <w:rsid w:val="674566A0"/>
    <w:rsid w:val="675F4A5E"/>
    <w:rsid w:val="67705E13"/>
    <w:rsid w:val="67890C82"/>
    <w:rsid w:val="67955F1C"/>
    <w:rsid w:val="67D86D04"/>
    <w:rsid w:val="67E87F4D"/>
    <w:rsid w:val="681D536B"/>
    <w:rsid w:val="686A0AB4"/>
    <w:rsid w:val="68745730"/>
    <w:rsid w:val="687849F5"/>
    <w:rsid w:val="69230C63"/>
    <w:rsid w:val="694D580C"/>
    <w:rsid w:val="695164F9"/>
    <w:rsid w:val="69855479"/>
    <w:rsid w:val="69967687"/>
    <w:rsid w:val="69B67C91"/>
    <w:rsid w:val="69DA4D55"/>
    <w:rsid w:val="69E4550E"/>
    <w:rsid w:val="6A222CC8"/>
    <w:rsid w:val="6A372590"/>
    <w:rsid w:val="6A826B3B"/>
    <w:rsid w:val="6A88688D"/>
    <w:rsid w:val="6A9A13A2"/>
    <w:rsid w:val="6AB853DB"/>
    <w:rsid w:val="6B2A75ED"/>
    <w:rsid w:val="6B317667"/>
    <w:rsid w:val="6B9E2823"/>
    <w:rsid w:val="6BC71D79"/>
    <w:rsid w:val="6BC93D43"/>
    <w:rsid w:val="6C317BB9"/>
    <w:rsid w:val="6CBC6F5E"/>
    <w:rsid w:val="6CF12E13"/>
    <w:rsid w:val="6D332114"/>
    <w:rsid w:val="6D8D1A6E"/>
    <w:rsid w:val="6D8E62E1"/>
    <w:rsid w:val="6DE005B8"/>
    <w:rsid w:val="6DF856F9"/>
    <w:rsid w:val="6DFF3A4C"/>
    <w:rsid w:val="6E3022FE"/>
    <w:rsid w:val="6ED40EA6"/>
    <w:rsid w:val="6EE174CF"/>
    <w:rsid w:val="6EE36ECA"/>
    <w:rsid w:val="6F433964"/>
    <w:rsid w:val="6F8B2E4B"/>
    <w:rsid w:val="702B02E0"/>
    <w:rsid w:val="70D94A29"/>
    <w:rsid w:val="70DA1F66"/>
    <w:rsid w:val="70E272B2"/>
    <w:rsid w:val="712024F2"/>
    <w:rsid w:val="717D0D5C"/>
    <w:rsid w:val="71B42DA0"/>
    <w:rsid w:val="71DB7417"/>
    <w:rsid w:val="71F238C8"/>
    <w:rsid w:val="71F6497B"/>
    <w:rsid w:val="72255721"/>
    <w:rsid w:val="72D14631"/>
    <w:rsid w:val="72F2170B"/>
    <w:rsid w:val="73025106"/>
    <w:rsid w:val="734E04B5"/>
    <w:rsid w:val="73904859"/>
    <w:rsid w:val="742B5128"/>
    <w:rsid w:val="74586D47"/>
    <w:rsid w:val="746F2D2A"/>
    <w:rsid w:val="74AC0E38"/>
    <w:rsid w:val="74C90910"/>
    <w:rsid w:val="74EE481B"/>
    <w:rsid w:val="75020EA3"/>
    <w:rsid w:val="75364CB4"/>
    <w:rsid w:val="75575F1C"/>
    <w:rsid w:val="75755697"/>
    <w:rsid w:val="75B95D13"/>
    <w:rsid w:val="75E747C4"/>
    <w:rsid w:val="75EC6CAD"/>
    <w:rsid w:val="76057F76"/>
    <w:rsid w:val="76126817"/>
    <w:rsid w:val="764A78A0"/>
    <w:rsid w:val="76946CFC"/>
    <w:rsid w:val="76B850E0"/>
    <w:rsid w:val="76BD26F7"/>
    <w:rsid w:val="76BD44A5"/>
    <w:rsid w:val="7711528B"/>
    <w:rsid w:val="7754770A"/>
    <w:rsid w:val="77700D28"/>
    <w:rsid w:val="779B768D"/>
    <w:rsid w:val="78335B5C"/>
    <w:rsid w:val="7867006C"/>
    <w:rsid w:val="78C95DE4"/>
    <w:rsid w:val="78CE015D"/>
    <w:rsid w:val="78EF1320"/>
    <w:rsid w:val="7916739A"/>
    <w:rsid w:val="794F58EF"/>
    <w:rsid w:val="7A097A01"/>
    <w:rsid w:val="7A285046"/>
    <w:rsid w:val="7A5769BE"/>
    <w:rsid w:val="7A6C488F"/>
    <w:rsid w:val="7A9149E2"/>
    <w:rsid w:val="7A932B16"/>
    <w:rsid w:val="7AB3015A"/>
    <w:rsid w:val="7ACB734E"/>
    <w:rsid w:val="7ADD5115"/>
    <w:rsid w:val="7B0B3A07"/>
    <w:rsid w:val="7B7A0BB6"/>
    <w:rsid w:val="7B9B28DB"/>
    <w:rsid w:val="7BF162E5"/>
    <w:rsid w:val="7C0B22B7"/>
    <w:rsid w:val="7C3A12F7"/>
    <w:rsid w:val="7C43522B"/>
    <w:rsid w:val="7CB029CD"/>
    <w:rsid w:val="7CB20263"/>
    <w:rsid w:val="7CCF0A8E"/>
    <w:rsid w:val="7CE502B1"/>
    <w:rsid w:val="7CEB6281"/>
    <w:rsid w:val="7D367311"/>
    <w:rsid w:val="7D3F20B7"/>
    <w:rsid w:val="7DD85E90"/>
    <w:rsid w:val="7E0463E6"/>
    <w:rsid w:val="7E325778"/>
    <w:rsid w:val="7E382EF7"/>
    <w:rsid w:val="7E4434CD"/>
    <w:rsid w:val="7E7A672F"/>
    <w:rsid w:val="7F231565"/>
    <w:rsid w:val="7F392B36"/>
    <w:rsid w:val="7F3D3110"/>
    <w:rsid w:val="7F525E81"/>
    <w:rsid w:val="7F6126BB"/>
    <w:rsid w:val="7F647E1B"/>
    <w:rsid w:val="7F6F6558"/>
    <w:rsid w:val="7F701B3E"/>
    <w:rsid w:val="7F9B25CA"/>
    <w:rsid w:val="7FC2585B"/>
    <w:rsid w:val="7FC56884"/>
    <w:rsid w:val="7FCE5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5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rPr>
      <w:rFonts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autoRedefine/>
    <w:qFormat/>
    <w:uiPriority w:val="0"/>
    <w:rPr>
      <w:b/>
    </w:rPr>
  </w:style>
  <w:style w:type="character" w:styleId="10">
    <w:name w:val="HTML Code"/>
    <w:basedOn w:val="8"/>
    <w:autoRedefine/>
    <w:qFormat/>
    <w:uiPriority w:val="0"/>
    <w:rPr>
      <w:rFonts w:ascii="Courier New" w:hAnsi="Courier New"/>
      <w:sz w:val="20"/>
    </w:rPr>
  </w:style>
  <w:style w:type="paragraph" w:styleId="11">
    <w:name w:val="List Paragraph"/>
    <w:autoRedefine/>
    <w:qFormat/>
    <w:uiPriority w:val="0"/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12">
    <w:name w:val="Table Text"/>
    <w:basedOn w:val="1"/>
    <w:autoRedefine/>
    <w:semiHidden/>
    <w:qFormat/>
    <w:uiPriority w:val="0"/>
    <w:rPr>
      <w:rFonts w:ascii="微软雅黑" w:hAnsi="微软雅黑" w:eastAsia="微软雅黑" w:cs="微软雅黑"/>
      <w:sz w:val="24"/>
      <w:szCs w:val="24"/>
      <w:lang w:val="en-US" w:eastAsia="en-US" w:bidi="ar-SA"/>
    </w:rPr>
  </w:style>
  <w:style w:type="table" w:customStyle="1" w:styleId="13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2074</Words>
  <Characters>2194</Characters>
  <Lines>1</Lines>
  <Paragraphs>1</Paragraphs>
  <TotalTime>1</TotalTime>
  <ScaleCrop>false</ScaleCrop>
  <LinksUpToDate>false</LinksUpToDate>
  <CharactersWithSpaces>3631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2021-07-28T11:50:00Z</dcterms:created>
  <dc:creator>Frog</dc:creator>
  <cp:lastModifiedBy>吴君妍</cp:lastModifiedBy>
  <cp:lastPrinted>2025-02-26T02:40:00Z</cp:lastPrinted>
  <dcterms:modified xsi:type="dcterms:W3CDTF">2025-09-04T06:58:11Z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9741EB08304C424DB54A7A7F4CC86616_13</vt:lpwstr>
  </property>
  <property fmtid="{D5CDD505-2E9C-101B-9397-08002B2CF9AE}" pid="4" name="KSOTemplateDocerSaveRecord">
    <vt:lpwstr>eyJoZGlkIjoiMWFmZDllZmYyNTkyYjQzZTFjNDE3MzQ1OGI4YmFjZTMiLCJ1c2VySWQiOiI1MjgxMDI2MjgifQ==</vt:lpwstr>
  </property>
</Properties>
</file>